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767D6" w14:textId="039A7073" w:rsidR="000B04F6" w:rsidRPr="000B04F6" w:rsidRDefault="000B04F6" w:rsidP="000B04F6">
      <w:pPr>
        <w:jc w:val="center"/>
        <w:rPr>
          <w:rFonts w:ascii="Times New Roman" w:hAnsi="Times New Roman" w:cs="Times New Roman"/>
          <w:b/>
          <w:bCs/>
          <w:sz w:val="24"/>
          <w:szCs w:val="24"/>
        </w:rPr>
      </w:pPr>
      <w:r w:rsidRPr="000B04F6">
        <w:rPr>
          <w:rFonts w:ascii="Times New Roman" w:hAnsi="Times New Roman" w:cs="Times New Roman"/>
          <w:b/>
          <w:bCs/>
          <w:sz w:val="24"/>
          <w:szCs w:val="24"/>
        </w:rPr>
        <w:t>DEFINÍCIA MSP</w:t>
      </w:r>
    </w:p>
    <w:p w14:paraId="3210DA54" w14:textId="77777777" w:rsidR="000B04F6" w:rsidRDefault="000B04F6" w:rsidP="000B04F6">
      <w:pPr>
        <w:jc w:val="center"/>
        <w:rPr>
          <w:rFonts w:ascii="Times New Roman" w:hAnsi="Times New Roman" w:cs="Times New Roman"/>
          <w:b/>
          <w:bCs/>
          <w:i/>
          <w:iCs/>
          <w:sz w:val="24"/>
          <w:szCs w:val="24"/>
          <w:u w:val="single"/>
        </w:rPr>
      </w:pPr>
    </w:p>
    <w:p w14:paraId="0FB2CA49" w14:textId="67E407EC" w:rsidR="000B04F6" w:rsidRPr="000B04F6" w:rsidRDefault="000B04F6" w:rsidP="000B04F6">
      <w:pPr>
        <w:jc w:val="center"/>
        <w:rPr>
          <w:rFonts w:ascii="Times New Roman" w:hAnsi="Times New Roman" w:cs="Times New Roman"/>
          <w:b/>
          <w:bCs/>
          <w:i/>
          <w:iCs/>
          <w:sz w:val="24"/>
          <w:szCs w:val="24"/>
          <w:u w:val="single"/>
        </w:rPr>
      </w:pPr>
      <w:r w:rsidRPr="000B04F6">
        <w:rPr>
          <w:rFonts w:ascii="Times New Roman" w:hAnsi="Times New Roman" w:cs="Times New Roman"/>
          <w:b/>
          <w:bCs/>
          <w:i/>
          <w:iCs/>
          <w:sz w:val="24"/>
          <w:szCs w:val="24"/>
          <w:u w:val="single"/>
        </w:rPr>
        <w:t>Článok 1</w:t>
      </w:r>
    </w:p>
    <w:p w14:paraId="2B5C91A1" w14:textId="13DF966C" w:rsidR="000B04F6" w:rsidRPr="000B04F6" w:rsidRDefault="000B04F6" w:rsidP="000B04F6">
      <w:pPr>
        <w:jc w:val="center"/>
        <w:rPr>
          <w:rFonts w:ascii="Times New Roman" w:hAnsi="Times New Roman" w:cs="Times New Roman"/>
          <w:b/>
          <w:bCs/>
          <w:i/>
          <w:iCs/>
          <w:sz w:val="24"/>
          <w:szCs w:val="24"/>
          <w:u w:val="single"/>
        </w:rPr>
      </w:pPr>
      <w:r w:rsidRPr="000B04F6">
        <w:rPr>
          <w:rFonts w:ascii="Times New Roman" w:hAnsi="Times New Roman" w:cs="Times New Roman"/>
          <w:b/>
          <w:bCs/>
          <w:i/>
          <w:iCs/>
          <w:sz w:val="24"/>
          <w:szCs w:val="24"/>
          <w:u w:val="single"/>
        </w:rPr>
        <w:t>Podnik</w:t>
      </w:r>
    </w:p>
    <w:p w14:paraId="018DF84F" w14:textId="77777777" w:rsidR="000B04F6" w:rsidRDefault="000B04F6" w:rsidP="004E509D">
      <w:pPr>
        <w:ind w:left="720"/>
        <w:jc w:val="both"/>
        <w:rPr>
          <w:rFonts w:ascii="Times New Roman" w:hAnsi="Times New Roman" w:cs="Times New Roman"/>
          <w:sz w:val="24"/>
          <w:szCs w:val="24"/>
        </w:rPr>
      </w:pPr>
      <w:r w:rsidRPr="000B04F6">
        <w:rPr>
          <w:rFonts w:ascii="Times New Roman" w:hAnsi="Times New Roman" w:cs="Times New Roman"/>
          <w:sz w:val="24"/>
          <w:szCs w:val="24"/>
        </w:rPr>
        <w:t xml:space="preserve">Za podnik sa považuje každý subjekt, ktorý vykonáva hospodársku činnosť bez ohľadu na jeho právnu formu. Sem patria najmä samostatne zárobkovo činné osoby a rodinné podniky, ktoré vykonávajú remeselnícke alebo iné činnosti, a partnerstvá alebo združenia, ktoré pravidelne vykonávajú hospodársku činnosť. </w:t>
      </w:r>
    </w:p>
    <w:p w14:paraId="02AB7F85" w14:textId="77777777" w:rsidR="004E509D" w:rsidRDefault="004E509D" w:rsidP="000B04F6">
      <w:pPr>
        <w:jc w:val="center"/>
        <w:rPr>
          <w:rFonts w:ascii="Times New Roman" w:hAnsi="Times New Roman" w:cs="Times New Roman"/>
          <w:b/>
          <w:bCs/>
          <w:i/>
          <w:iCs/>
          <w:sz w:val="24"/>
          <w:szCs w:val="24"/>
          <w:u w:val="single"/>
        </w:rPr>
      </w:pPr>
    </w:p>
    <w:p w14:paraId="28CA015C" w14:textId="15CD5E68" w:rsidR="000B04F6" w:rsidRPr="000B04F6" w:rsidRDefault="000B04F6" w:rsidP="000B04F6">
      <w:pPr>
        <w:jc w:val="center"/>
        <w:rPr>
          <w:rFonts w:ascii="Times New Roman" w:hAnsi="Times New Roman" w:cs="Times New Roman"/>
          <w:b/>
          <w:bCs/>
          <w:i/>
          <w:iCs/>
          <w:sz w:val="24"/>
          <w:szCs w:val="24"/>
          <w:u w:val="single"/>
        </w:rPr>
      </w:pPr>
      <w:r w:rsidRPr="000B04F6">
        <w:rPr>
          <w:rFonts w:ascii="Times New Roman" w:hAnsi="Times New Roman" w:cs="Times New Roman"/>
          <w:b/>
          <w:bCs/>
          <w:i/>
          <w:iCs/>
          <w:sz w:val="24"/>
          <w:szCs w:val="24"/>
          <w:u w:val="single"/>
        </w:rPr>
        <w:t>Článok 2</w:t>
      </w:r>
    </w:p>
    <w:p w14:paraId="4B125847" w14:textId="1C81F8A2" w:rsidR="000B04F6" w:rsidRPr="000B04F6" w:rsidRDefault="000B04F6" w:rsidP="000B04F6">
      <w:pPr>
        <w:jc w:val="center"/>
        <w:rPr>
          <w:rFonts w:ascii="Times New Roman" w:hAnsi="Times New Roman" w:cs="Times New Roman"/>
          <w:b/>
          <w:bCs/>
          <w:i/>
          <w:iCs/>
          <w:sz w:val="24"/>
          <w:szCs w:val="24"/>
          <w:u w:val="single"/>
        </w:rPr>
      </w:pPr>
      <w:r w:rsidRPr="000B04F6">
        <w:rPr>
          <w:rFonts w:ascii="Times New Roman" w:hAnsi="Times New Roman" w:cs="Times New Roman"/>
          <w:b/>
          <w:bCs/>
          <w:i/>
          <w:iCs/>
          <w:sz w:val="24"/>
          <w:szCs w:val="24"/>
          <w:u w:val="single"/>
        </w:rPr>
        <w:t>Počet zamestnancov a finančné limity určujúce kategórie podnikov</w:t>
      </w:r>
    </w:p>
    <w:p w14:paraId="2BE4B8C9" w14:textId="426146DD" w:rsidR="004E509D" w:rsidRDefault="000B04F6" w:rsidP="0015216F">
      <w:pPr>
        <w:pStyle w:val="Odsekzoznamu"/>
        <w:numPr>
          <w:ilvl w:val="0"/>
          <w:numId w:val="10"/>
        </w:numPr>
        <w:jc w:val="both"/>
        <w:rPr>
          <w:rFonts w:ascii="Times New Roman" w:hAnsi="Times New Roman" w:cs="Times New Roman"/>
          <w:sz w:val="24"/>
          <w:szCs w:val="24"/>
        </w:rPr>
      </w:pPr>
      <w:r w:rsidRPr="004E509D">
        <w:rPr>
          <w:rFonts w:ascii="Times New Roman" w:hAnsi="Times New Roman" w:cs="Times New Roman"/>
          <w:sz w:val="24"/>
          <w:szCs w:val="24"/>
        </w:rPr>
        <w:t xml:space="preserve">Kategóriu mikropodnikov, malých a stredných podnikov („MSP“) tvoria podniky, ktoré zamestnávajú menej ako 250 osôb a ktorých ročný obrat nepresahuje 50 mil. EUR a/alebo celková ročná súvaha nepresahuje 43 mil. EUR. </w:t>
      </w:r>
    </w:p>
    <w:p w14:paraId="28E855A4" w14:textId="77777777" w:rsidR="004E509D" w:rsidRPr="004E509D" w:rsidRDefault="004E509D" w:rsidP="004E509D">
      <w:pPr>
        <w:pStyle w:val="Odsekzoznamu"/>
        <w:jc w:val="both"/>
        <w:rPr>
          <w:rFonts w:ascii="Times New Roman" w:hAnsi="Times New Roman" w:cs="Times New Roman"/>
          <w:sz w:val="24"/>
          <w:szCs w:val="24"/>
        </w:rPr>
      </w:pPr>
    </w:p>
    <w:p w14:paraId="1BE4D824" w14:textId="476634C2" w:rsidR="004E509D" w:rsidRPr="004E509D" w:rsidRDefault="000B04F6" w:rsidP="0015216F">
      <w:pPr>
        <w:pStyle w:val="Odsekzoznamu"/>
        <w:numPr>
          <w:ilvl w:val="0"/>
          <w:numId w:val="10"/>
        </w:numPr>
        <w:spacing w:after="0"/>
        <w:jc w:val="both"/>
        <w:rPr>
          <w:rFonts w:ascii="Times New Roman" w:hAnsi="Times New Roman" w:cs="Times New Roman"/>
          <w:sz w:val="24"/>
          <w:szCs w:val="24"/>
        </w:rPr>
      </w:pPr>
      <w:r w:rsidRPr="004E509D">
        <w:rPr>
          <w:rFonts w:ascii="Times New Roman" w:hAnsi="Times New Roman" w:cs="Times New Roman"/>
          <w:sz w:val="24"/>
          <w:szCs w:val="24"/>
        </w:rPr>
        <w:t xml:space="preserve">V rámci kategórie MSP sa malý podnik definuje ako podnik, ktorý zamestnáva menej ako 50 osôb a ktorého ročný obrat a/alebo celková ročná súvaha nepresahuje 10 mil. EUR. </w:t>
      </w:r>
    </w:p>
    <w:p w14:paraId="0CEDDA85" w14:textId="77777777" w:rsidR="004E509D" w:rsidRPr="004E509D" w:rsidRDefault="004E509D" w:rsidP="004E509D">
      <w:pPr>
        <w:pStyle w:val="Odsekzoznamu"/>
        <w:spacing w:after="0"/>
        <w:jc w:val="both"/>
        <w:rPr>
          <w:rFonts w:ascii="Times New Roman" w:hAnsi="Times New Roman" w:cs="Times New Roman"/>
          <w:sz w:val="24"/>
          <w:szCs w:val="24"/>
        </w:rPr>
      </w:pPr>
    </w:p>
    <w:p w14:paraId="46B77C52" w14:textId="49CD9FD7" w:rsidR="004E509D" w:rsidRPr="004E509D" w:rsidRDefault="000B04F6" w:rsidP="0015216F">
      <w:pPr>
        <w:pStyle w:val="Odsekzoznamu"/>
        <w:numPr>
          <w:ilvl w:val="0"/>
          <w:numId w:val="10"/>
        </w:numPr>
        <w:spacing w:after="0"/>
        <w:jc w:val="both"/>
        <w:rPr>
          <w:rFonts w:ascii="Times New Roman" w:hAnsi="Times New Roman" w:cs="Times New Roman"/>
          <w:sz w:val="24"/>
          <w:szCs w:val="24"/>
        </w:rPr>
      </w:pPr>
      <w:r w:rsidRPr="004E509D">
        <w:rPr>
          <w:rFonts w:ascii="Times New Roman" w:hAnsi="Times New Roman" w:cs="Times New Roman"/>
          <w:sz w:val="24"/>
          <w:szCs w:val="24"/>
        </w:rPr>
        <w:t xml:space="preserve">V rámci kategórie MSP sa mikropodnik definuje ako podnik, ktorý zamestnáva menej ako 10 osôb a ktorého ročný obrat a/alebo celková ročná súvaha nepresahuje 2 mil. EUR. </w:t>
      </w:r>
    </w:p>
    <w:p w14:paraId="23165CF1" w14:textId="77777777" w:rsidR="004E509D" w:rsidRDefault="004E509D" w:rsidP="004E509D">
      <w:pPr>
        <w:jc w:val="center"/>
        <w:rPr>
          <w:rFonts w:ascii="Times New Roman" w:hAnsi="Times New Roman" w:cs="Times New Roman"/>
          <w:b/>
          <w:bCs/>
          <w:i/>
          <w:iCs/>
          <w:sz w:val="24"/>
          <w:szCs w:val="24"/>
          <w:u w:val="single"/>
        </w:rPr>
      </w:pPr>
    </w:p>
    <w:p w14:paraId="317F095B" w14:textId="69880AE2" w:rsidR="004E509D" w:rsidRPr="004E509D" w:rsidRDefault="000B04F6" w:rsidP="004E509D">
      <w:pPr>
        <w:jc w:val="center"/>
        <w:rPr>
          <w:rFonts w:ascii="Times New Roman" w:hAnsi="Times New Roman" w:cs="Times New Roman"/>
          <w:b/>
          <w:bCs/>
          <w:i/>
          <w:iCs/>
          <w:sz w:val="24"/>
          <w:szCs w:val="24"/>
          <w:u w:val="single"/>
        </w:rPr>
      </w:pPr>
      <w:r w:rsidRPr="004E509D">
        <w:rPr>
          <w:rFonts w:ascii="Times New Roman" w:hAnsi="Times New Roman" w:cs="Times New Roman"/>
          <w:b/>
          <w:bCs/>
          <w:i/>
          <w:iCs/>
          <w:sz w:val="24"/>
          <w:szCs w:val="24"/>
          <w:u w:val="single"/>
        </w:rPr>
        <w:t>Článok 3</w:t>
      </w:r>
    </w:p>
    <w:p w14:paraId="3EFB4D57" w14:textId="458063F8" w:rsidR="004E509D" w:rsidRPr="004E509D" w:rsidRDefault="000B04F6" w:rsidP="004E509D">
      <w:pPr>
        <w:jc w:val="center"/>
        <w:rPr>
          <w:rFonts w:ascii="Times New Roman" w:hAnsi="Times New Roman" w:cs="Times New Roman"/>
          <w:b/>
          <w:bCs/>
          <w:i/>
          <w:iCs/>
          <w:sz w:val="24"/>
          <w:szCs w:val="24"/>
          <w:u w:val="single"/>
        </w:rPr>
      </w:pPr>
      <w:r w:rsidRPr="004E509D">
        <w:rPr>
          <w:rFonts w:ascii="Times New Roman" w:hAnsi="Times New Roman" w:cs="Times New Roman"/>
          <w:b/>
          <w:bCs/>
          <w:i/>
          <w:iCs/>
          <w:sz w:val="24"/>
          <w:szCs w:val="24"/>
          <w:u w:val="single"/>
        </w:rPr>
        <w:t>Typy podnikov, ktoré sa zohľadňujú pri výpočte počtu zamestnancov a finančných súm</w:t>
      </w:r>
    </w:p>
    <w:p w14:paraId="6D97A3B8" w14:textId="0A7A1010" w:rsidR="004E509D" w:rsidRDefault="000B04F6" w:rsidP="00317073">
      <w:pPr>
        <w:pStyle w:val="Odsekzoznamu"/>
        <w:numPr>
          <w:ilvl w:val="0"/>
          <w:numId w:val="6"/>
        </w:numPr>
        <w:jc w:val="both"/>
        <w:rPr>
          <w:rFonts w:ascii="Times New Roman" w:hAnsi="Times New Roman" w:cs="Times New Roman"/>
          <w:sz w:val="24"/>
          <w:szCs w:val="24"/>
        </w:rPr>
      </w:pPr>
      <w:r w:rsidRPr="004E509D">
        <w:rPr>
          <w:rFonts w:ascii="Times New Roman" w:hAnsi="Times New Roman" w:cs="Times New Roman"/>
          <w:sz w:val="24"/>
          <w:szCs w:val="24"/>
        </w:rPr>
        <w:t xml:space="preserve">„Samostatný podnik“ je každý podnik, ktorý nie je zatriedený ako partnerský podnik v zmysle odseku 2 alebo ako prepojený podnik v zmysle odseku 3. </w:t>
      </w:r>
    </w:p>
    <w:p w14:paraId="07C6F20F" w14:textId="77777777" w:rsidR="00317073" w:rsidRPr="004E509D" w:rsidRDefault="00317073" w:rsidP="00317073">
      <w:pPr>
        <w:pStyle w:val="Odsekzoznamu"/>
        <w:ind w:left="360"/>
        <w:jc w:val="both"/>
        <w:rPr>
          <w:rFonts w:ascii="Times New Roman" w:hAnsi="Times New Roman" w:cs="Times New Roman"/>
          <w:sz w:val="24"/>
          <w:szCs w:val="24"/>
        </w:rPr>
      </w:pPr>
    </w:p>
    <w:p w14:paraId="2095E51C" w14:textId="211CDCEE" w:rsidR="004E509D" w:rsidRPr="004E509D" w:rsidRDefault="000B04F6" w:rsidP="00317073">
      <w:pPr>
        <w:pStyle w:val="Odsekzoznamu"/>
        <w:numPr>
          <w:ilvl w:val="0"/>
          <w:numId w:val="6"/>
        </w:numPr>
        <w:jc w:val="both"/>
        <w:rPr>
          <w:rFonts w:ascii="Times New Roman" w:hAnsi="Times New Roman" w:cs="Times New Roman"/>
          <w:sz w:val="24"/>
          <w:szCs w:val="24"/>
        </w:rPr>
      </w:pPr>
      <w:r w:rsidRPr="004E509D">
        <w:rPr>
          <w:rFonts w:ascii="Times New Roman" w:hAnsi="Times New Roman" w:cs="Times New Roman"/>
          <w:sz w:val="24"/>
          <w:szCs w:val="24"/>
        </w:rPr>
        <w:t xml:space="preserve">„Partnerské podniky“ sú všetky podniky, ktoré nie sú zatriedené ako prepojené podniky v zmysle odseku 3 a medzi ktorými je takýto vzťah: podnik (vyššie postavený podnik) vlastní, buď samostatne, alebo spoločne s jedným alebo viacerými prepojenými podnikmi v zmysle odseku 3, 25 % alebo viac imania alebo hlasovacích práv iného podniku (nižšie postavený podnik). Podnik sa však môže klasifikovať ako samostatný, teda ako podnik, ktorý nemá žiadne partnerské podniky, aj keď investori tento limit 25 % dosiahnu alebo prekročia, za predpokladu, že títo investori nie sú prepojení v zmysle odseku 3 individuálne alebo spoločne s príslušným podnikom: </w:t>
      </w:r>
    </w:p>
    <w:p w14:paraId="0EB21CD7" w14:textId="48B12DAC" w:rsidR="004E509D" w:rsidRPr="00317073" w:rsidRDefault="000B04F6" w:rsidP="00317073">
      <w:pPr>
        <w:pStyle w:val="Odsekzoznamu"/>
        <w:numPr>
          <w:ilvl w:val="1"/>
          <w:numId w:val="7"/>
        </w:numPr>
        <w:jc w:val="both"/>
        <w:rPr>
          <w:rFonts w:ascii="Times New Roman" w:hAnsi="Times New Roman" w:cs="Times New Roman"/>
          <w:sz w:val="24"/>
          <w:szCs w:val="24"/>
        </w:rPr>
      </w:pPr>
      <w:r w:rsidRPr="00317073">
        <w:rPr>
          <w:rFonts w:ascii="Times New Roman" w:hAnsi="Times New Roman" w:cs="Times New Roman"/>
          <w:sz w:val="24"/>
          <w:szCs w:val="24"/>
        </w:rPr>
        <w:t xml:space="preserve">verejnými investičnými spoločnosťami, spoločnosťami investujúcimi do rizikového kapitálu, fyzickými osobami alebo skupinami fyzických osôb, ktoré sa pravidelne zúčastňujú na rizikových investičných aktivitách, ktoré investujú </w:t>
      </w:r>
      <w:r w:rsidRPr="00317073">
        <w:rPr>
          <w:rFonts w:ascii="Times New Roman" w:hAnsi="Times New Roman" w:cs="Times New Roman"/>
          <w:sz w:val="24"/>
          <w:szCs w:val="24"/>
        </w:rPr>
        <w:lastRenderedPageBreak/>
        <w:t xml:space="preserve">vlastný kapitál do nekótovaných firiem (podnikateľskí anjeli) za predpokladu, že celkové investície týchto podnikateľských anjelov v rovnakom podniku sú nižšie ako 1 250 000 EUR; </w:t>
      </w:r>
    </w:p>
    <w:p w14:paraId="438B86D4" w14:textId="020BDA69" w:rsidR="004E509D" w:rsidRPr="00317073" w:rsidRDefault="000B04F6" w:rsidP="00317073">
      <w:pPr>
        <w:pStyle w:val="Odsekzoznamu"/>
        <w:numPr>
          <w:ilvl w:val="1"/>
          <w:numId w:val="7"/>
        </w:numPr>
        <w:jc w:val="both"/>
        <w:rPr>
          <w:rFonts w:ascii="Times New Roman" w:hAnsi="Times New Roman" w:cs="Times New Roman"/>
          <w:sz w:val="24"/>
          <w:szCs w:val="24"/>
        </w:rPr>
      </w:pPr>
      <w:r w:rsidRPr="00317073">
        <w:rPr>
          <w:rFonts w:ascii="Times New Roman" w:hAnsi="Times New Roman" w:cs="Times New Roman"/>
          <w:sz w:val="24"/>
          <w:szCs w:val="24"/>
        </w:rPr>
        <w:t xml:space="preserve">univerzitami alebo neziskovými výskumnými strediskami; </w:t>
      </w:r>
    </w:p>
    <w:p w14:paraId="786A009D" w14:textId="77777777" w:rsidR="0015216F" w:rsidRDefault="000B04F6" w:rsidP="00317073">
      <w:pPr>
        <w:pStyle w:val="Odsekzoznamu"/>
        <w:numPr>
          <w:ilvl w:val="1"/>
          <w:numId w:val="7"/>
        </w:numPr>
        <w:jc w:val="both"/>
        <w:rPr>
          <w:rFonts w:ascii="Times New Roman" w:hAnsi="Times New Roman" w:cs="Times New Roman"/>
          <w:sz w:val="24"/>
          <w:szCs w:val="24"/>
        </w:rPr>
      </w:pPr>
      <w:r w:rsidRPr="00317073">
        <w:rPr>
          <w:rFonts w:ascii="Times New Roman" w:hAnsi="Times New Roman" w:cs="Times New Roman"/>
          <w:sz w:val="24"/>
          <w:szCs w:val="24"/>
        </w:rPr>
        <w:t xml:space="preserve">inštitucionálnymi investormi, vrátane regionálnych rozvojových fondov; </w:t>
      </w:r>
    </w:p>
    <w:p w14:paraId="1B855A37" w14:textId="73211782" w:rsidR="004E509D" w:rsidRDefault="000B04F6" w:rsidP="00317073">
      <w:pPr>
        <w:pStyle w:val="Odsekzoznamu"/>
        <w:numPr>
          <w:ilvl w:val="1"/>
          <w:numId w:val="7"/>
        </w:numPr>
        <w:jc w:val="both"/>
        <w:rPr>
          <w:rFonts w:ascii="Times New Roman" w:hAnsi="Times New Roman" w:cs="Times New Roman"/>
          <w:sz w:val="24"/>
          <w:szCs w:val="24"/>
        </w:rPr>
      </w:pPr>
      <w:r w:rsidRPr="00317073">
        <w:rPr>
          <w:rFonts w:ascii="Times New Roman" w:hAnsi="Times New Roman" w:cs="Times New Roman"/>
          <w:sz w:val="24"/>
          <w:szCs w:val="24"/>
        </w:rPr>
        <w:t xml:space="preserve">orgánmi miestnej samosprávy, ktoré majú ročný rozpočet menší ako 10 mil. EUR a menej ako 5 000 obyvateľov. </w:t>
      </w:r>
    </w:p>
    <w:p w14:paraId="578FBDC7" w14:textId="77777777" w:rsidR="00DF04BD" w:rsidRPr="00317073" w:rsidRDefault="00DF04BD" w:rsidP="00DF04BD">
      <w:pPr>
        <w:pStyle w:val="Odsekzoznamu"/>
        <w:ind w:left="1440"/>
        <w:jc w:val="both"/>
        <w:rPr>
          <w:rFonts w:ascii="Times New Roman" w:hAnsi="Times New Roman" w:cs="Times New Roman"/>
          <w:sz w:val="24"/>
          <w:szCs w:val="24"/>
        </w:rPr>
      </w:pPr>
    </w:p>
    <w:p w14:paraId="125EBADB" w14:textId="23D64691" w:rsidR="004E509D" w:rsidRDefault="000B04F6" w:rsidP="0015216F">
      <w:pPr>
        <w:pStyle w:val="Odsekzoznamu"/>
        <w:numPr>
          <w:ilvl w:val="0"/>
          <w:numId w:val="6"/>
        </w:numPr>
        <w:jc w:val="both"/>
        <w:rPr>
          <w:rFonts w:ascii="Times New Roman" w:hAnsi="Times New Roman" w:cs="Times New Roman"/>
          <w:sz w:val="24"/>
          <w:szCs w:val="24"/>
        </w:rPr>
      </w:pPr>
      <w:r w:rsidRPr="0015216F">
        <w:rPr>
          <w:rFonts w:ascii="Times New Roman" w:hAnsi="Times New Roman" w:cs="Times New Roman"/>
          <w:sz w:val="24"/>
          <w:szCs w:val="24"/>
        </w:rPr>
        <w:t xml:space="preserve">„Prepojené podniky“ sú podniky, medzi ktorými je niektorý z týchto vzájomných vzťahov: </w:t>
      </w:r>
    </w:p>
    <w:p w14:paraId="6E5DDFE5" w14:textId="77777777" w:rsidR="0015216F" w:rsidRPr="0015216F" w:rsidRDefault="0015216F" w:rsidP="0015216F">
      <w:pPr>
        <w:pStyle w:val="Odsekzoznamu"/>
        <w:ind w:left="360"/>
        <w:jc w:val="both"/>
        <w:rPr>
          <w:rFonts w:ascii="Times New Roman" w:hAnsi="Times New Roman" w:cs="Times New Roman"/>
          <w:sz w:val="24"/>
          <w:szCs w:val="24"/>
        </w:rPr>
      </w:pPr>
    </w:p>
    <w:p w14:paraId="018A3AC6" w14:textId="77777777" w:rsidR="0015216F" w:rsidRPr="00BB3638" w:rsidRDefault="0015216F" w:rsidP="00E07CB5">
      <w:pPr>
        <w:pStyle w:val="Odsekzoznamu"/>
        <w:numPr>
          <w:ilvl w:val="3"/>
          <w:numId w:val="11"/>
        </w:numPr>
        <w:jc w:val="both"/>
        <w:rPr>
          <w:rFonts w:ascii="Times New Roman" w:hAnsi="Times New Roman" w:cs="Times New Roman"/>
          <w:sz w:val="24"/>
          <w:szCs w:val="24"/>
        </w:rPr>
      </w:pPr>
      <w:r w:rsidRPr="00BB3638">
        <w:rPr>
          <w:rFonts w:ascii="Times New Roman" w:hAnsi="Times New Roman" w:cs="Times New Roman"/>
          <w:sz w:val="24"/>
          <w:szCs w:val="24"/>
        </w:rPr>
        <w:t xml:space="preserve">podnik má väčšinu hlasovacích práv akcionárov alebo členov v inom podniku; </w:t>
      </w:r>
    </w:p>
    <w:p w14:paraId="2EFD5F6D" w14:textId="77777777" w:rsidR="0015216F" w:rsidRPr="00BB3638" w:rsidRDefault="0015216F" w:rsidP="00E07CB5">
      <w:pPr>
        <w:pStyle w:val="Odsekzoznamu"/>
        <w:numPr>
          <w:ilvl w:val="3"/>
          <w:numId w:val="11"/>
        </w:numPr>
        <w:jc w:val="both"/>
        <w:rPr>
          <w:rFonts w:ascii="Times New Roman" w:hAnsi="Times New Roman" w:cs="Times New Roman"/>
          <w:sz w:val="24"/>
          <w:szCs w:val="24"/>
        </w:rPr>
      </w:pPr>
      <w:r w:rsidRPr="00BB3638">
        <w:rPr>
          <w:rFonts w:ascii="Times New Roman" w:hAnsi="Times New Roman" w:cs="Times New Roman"/>
          <w:sz w:val="24"/>
          <w:szCs w:val="24"/>
        </w:rPr>
        <w:t>podnik má právo vymenovať alebo odvolať väčšinu členov správneho, riadiaceho alebo dozorného orgánu;</w:t>
      </w:r>
    </w:p>
    <w:p w14:paraId="4942937E" w14:textId="77777777" w:rsidR="0015216F" w:rsidRPr="00BB3638" w:rsidRDefault="0015216F" w:rsidP="00E07CB5">
      <w:pPr>
        <w:pStyle w:val="Odsekzoznamu"/>
        <w:numPr>
          <w:ilvl w:val="3"/>
          <w:numId w:val="11"/>
        </w:numPr>
        <w:jc w:val="both"/>
        <w:rPr>
          <w:rFonts w:ascii="Times New Roman" w:hAnsi="Times New Roman" w:cs="Times New Roman"/>
          <w:sz w:val="24"/>
          <w:szCs w:val="24"/>
        </w:rPr>
      </w:pPr>
      <w:r w:rsidRPr="00BB3638">
        <w:rPr>
          <w:rFonts w:ascii="Times New Roman" w:hAnsi="Times New Roman" w:cs="Times New Roman"/>
          <w:sz w:val="24"/>
          <w:szCs w:val="24"/>
        </w:rPr>
        <w:t xml:space="preserve">podnik má právo dominantne pôsobiť na iný podnik na základe zmluvy uzatvorenej s týmto podnikom alebo na základe ustanovenia v jeho spoločenskej zmluve alebo stanovách; </w:t>
      </w:r>
    </w:p>
    <w:p w14:paraId="5546D3DC" w14:textId="79AF8E06" w:rsidR="0015216F" w:rsidRPr="00291704" w:rsidRDefault="0015216F" w:rsidP="00291704">
      <w:pPr>
        <w:pStyle w:val="Odsekzoznamu"/>
        <w:numPr>
          <w:ilvl w:val="3"/>
          <w:numId w:val="11"/>
        </w:numPr>
        <w:jc w:val="both"/>
        <w:rPr>
          <w:rFonts w:ascii="Times New Roman" w:hAnsi="Times New Roman" w:cs="Times New Roman"/>
          <w:sz w:val="24"/>
          <w:szCs w:val="24"/>
        </w:rPr>
      </w:pPr>
      <w:r w:rsidRPr="00BB3638">
        <w:rPr>
          <w:rFonts w:ascii="Times New Roman" w:hAnsi="Times New Roman" w:cs="Times New Roman"/>
          <w:sz w:val="24"/>
          <w:szCs w:val="24"/>
        </w:rPr>
        <w:t xml:space="preserve">podnik, ktorý je akcionárom alebo členom iného podniku, sám kontroluje na základe zmluvy s inými akcionármi tohto podniku alebo členmi tohto podniku väčšinu hlasovacích práv akcionárov alebo členov v tomto podniku. </w:t>
      </w:r>
    </w:p>
    <w:p w14:paraId="12217B35" w14:textId="79693C9A" w:rsidR="00BB3638" w:rsidRPr="0015216F" w:rsidRDefault="000B04F6" w:rsidP="00291704">
      <w:pPr>
        <w:ind w:left="720"/>
        <w:jc w:val="both"/>
        <w:rPr>
          <w:rFonts w:ascii="Times New Roman" w:hAnsi="Times New Roman" w:cs="Times New Roman"/>
          <w:sz w:val="24"/>
          <w:szCs w:val="24"/>
        </w:rPr>
      </w:pPr>
      <w:r w:rsidRPr="0015216F">
        <w:rPr>
          <w:rFonts w:ascii="Times New Roman" w:hAnsi="Times New Roman" w:cs="Times New Roman"/>
          <w:sz w:val="24"/>
          <w:szCs w:val="24"/>
        </w:rPr>
        <w:t xml:space="preserve">Vychádza sa z predpokladu, že dominantný vplyv neexistuje, ak sa investori uvedení v druhom pododseku odseku 2 nezapoja priamo alebo nepriamo do riadenia príslušného podniku – bez toho, aby boli dotknuté ich práva ako akcionárov. </w:t>
      </w:r>
    </w:p>
    <w:p w14:paraId="3AA323E9" w14:textId="77777777" w:rsidR="00BB3638" w:rsidRPr="0015216F" w:rsidRDefault="000B04F6" w:rsidP="00291704">
      <w:pPr>
        <w:ind w:left="720"/>
        <w:jc w:val="both"/>
        <w:rPr>
          <w:rFonts w:ascii="Times New Roman" w:hAnsi="Times New Roman" w:cs="Times New Roman"/>
          <w:sz w:val="24"/>
          <w:szCs w:val="24"/>
        </w:rPr>
      </w:pPr>
      <w:r w:rsidRPr="0015216F">
        <w:rPr>
          <w:rFonts w:ascii="Times New Roman" w:hAnsi="Times New Roman" w:cs="Times New Roman"/>
          <w:sz w:val="24"/>
          <w:szCs w:val="24"/>
        </w:rPr>
        <w:t xml:space="preserve">Podniky, ktoré sa nachádzajú v niektorom zo vzťahov uvedených v prvom pododseku prostredníctvom jedného alebo viacerých podnikov, alebo majú niektorého z investorov uvedených v odseku 2, sa tiež považujú za prepojené. </w:t>
      </w:r>
    </w:p>
    <w:p w14:paraId="27011DF1" w14:textId="77777777" w:rsidR="00BB3638" w:rsidRPr="0015216F" w:rsidRDefault="000B04F6" w:rsidP="00291704">
      <w:pPr>
        <w:ind w:left="720"/>
        <w:jc w:val="both"/>
        <w:rPr>
          <w:rFonts w:ascii="Times New Roman" w:hAnsi="Times New Roman" w:cs="Times New Roman"/>
          <w:sz w:val="24"/>
          <w:szCs w:val="24"/>
        </w:rPr>
      </w:pPr>
      <w:r w:rsidRPr="0015216F">
        <w:rPr>
          <w:rFonts w:ascii="Times New Roman" w:hAnsi="Times New Roman" w:cs="Times New Roman"/>
          <w:sz w:val="24"/>
          <w:szCs w:val="24"/>
        </w:rPr>
        <w:t xml:space="preserve">Podniky, ktoré sa nachádzajú v niektorom z týchto vzťahov prostredníctvom fyzickej osoby alebo skupiny fyzických osôb konajúcich spoločne, sa tiež považujú za prepojené podniky, ak svoju činnosť alebo časť svojej činnosti vykonávajú na rovnakom relevantnom trhu alebo na priľahlých trhoch. </w:t>
      </w:r>
    </w:p>
    <w:p w14:paraId="526015F6" w14:textId="77777777" w:rsidR="00BB3638" w:rsidRPr="0015216F" w:rsidRDefault="000B04F6" w:rsidP="00291704">
      <w:pPr>
        <w:ind w:left="720"/>
        <w:jc w:val="both"/>
        <w:rPr>
          <w:rFonts w:ascii="Times New Roman" w:hAnsi="Times New Roman" w:cs="Times New Roman"/>
          <w:sz w:val="24"/>
          <w:szCs w:val="24"/>
        </w:rPr>
      </w:pPr>
      <w:r w:rsidRPr="0015216F">
        <w:rPr>
          <w:rFonts w:ascii="Times New Roman" w:hAnsi="Times New Roman" w:cs="Times New Roman"/>
          <w:sz w:val="24"/>
          <w:szCs w:val="24"/>
        </w:rPr>
        <w:t xml:space="preserve">Za „priľahlý trh“ sa považuje trh pre výrobok alebo službu, ktorý sa nachádza bezprostredne vo vyššej alebo nižšej pozícii vo vzťahu k relevantnému trhu. </w:t>
      </w:r>
    </w:p>
    <w:p w14:paraId="264DEEC5" w14:textId="5EE870B1" w:rsidR="00BB3638" w:rsidRDefault="000B04F6" w:rsidP="0015216F">
      <w:pPr>
        <w:pStyle w:val="Odsekzoznamu"/>
        <w:numPr>
          <w:ilvl w:val="0"/>
          <w:numId w:val="6"/>
        </w:numPr>
        <w:jc w:val="both"/>
        <w:rPr>
          <w:rFonts w:ascii="Times New Roman" w:hAnsi="Times New Roman" w:cs="Times New Roman"/>
          <w:sz w:val="24"/>
          <w:szCs w:val="24"/>
        </w:rPr>
      </w:pPr>
      <w:r w:rsidRPr="0015216F">
        <w:rPr>
          <w:rFonts w:ascii="Times New Roman" w:hAnsi="Times New Roman" w:cs="Times New Roman"/>
          <w:sz w:val="24"/>
          <w:szCs w:val="24"/>
        </w:rPr>
        <w:t xml:space="preserve">Okrem prípadov uvedených v odseku 2 druhom pododseku sa podnik nemôže považovať za MSP, ak 25 % alebo viac imania alebo hlasovacích práv je priamo alebo nepriamo kontrolovaných spoločne alebo individuálne jedným alebo viacerými verejnými orgánmi. </w:t>
      </w:r>
    </w:p>
    <w:p w14:paraId="16382D11" w14:textId="77777777" w:rsidR="00291704" w:rsidRPr="0015216F" w:rsidRDefault="00291704" w:rsidP="00291704">
      <w:pPr>
        <w:pStyle w:val="Odsekzoznamu"/>
        <w:jc w:val="both"/>
        <w:rPr>
          <w:rFonts w:ascii="Times New Roman" w:hAnsi="Times New Roman" w:cs="Times New Roman"/>
          <w:sz w:val="24"/>
          <w:szCs w:val="24"/>
        </w:rPr>
      </w:pPr>
    </w:p>
    <w:p w14:paraId="70DFCFB1" w14:textId="78D4CEE9" w:rsidR="00BB3638" w:rsidRPr="0015216F" w:rsidRDefault="000B04F6" w:rsidP="0015216F">
      <w:pPr>
        <w:pStyle w:val="Odsekzoznamu"/>
        <w:numPr>
          <w:ilvl w:val="0"/>
          <w:numId w:val="6"/>
        </w:numPr>
        <w:jc w:val="both"/>
        <w:rPr>
          <w:rFonts w:ascii="Times New Roman" w:hAnsi="Times New Roman" w:cs="Times New Roman"/>
          <w:sz w:val="24"/>
          <w:szCs w:val="24"/>
        </w:rPr>
      </w:pPr>
      <w:r w:rsidRPr="0015216F">
        <w:rPr>
          <w:rFonts w:ascii="Times New Roman" w:hAnsi="Times New Roman" w:cs="Times New Roman"/>
          <w:sz w:val="24"/>
          <w:szCs w:val="24"/>
        </w:rPr>
        <w:t xml:space="preserve">Podniky môžu poskytnúť vyhlásenie o svojom postavení samostatného podniku, partnerského podniku alebo prepojeného podniku vrátane údajov týkajúcich sa limitov stanovených v článku 2. Vyhlásenie sa môže poskytnúť aj vtedy, keď je imanie rozptýlené tak, že nie je možné presne určiť, kto je jeho držiteľom; v takomto prípade podnik môže poskytnúť vyhlásenie v dobrej viere, že môže odôvodnene predpokladať, že jeden podnik </w:t>
      </w:r>
      <w:r w:rsidRPr="0015216F">
        <w:rPr>
          <w:rFonts w:ascii="Times New Roman" w:hAnsi="Times New Roman" w:cs="Times New Roman"/>
          <w:sz w:val="24"/>
          <w:szCs w:val="24"/>
        </w:rPr>
        <w:lastRenderedPageBreak/>
        <w:t xml:space="preserve">v ňom nevlastní alebo spoločne navzájom prepojené podniky nevlastnia 25 % alebo viac. Také vyhlásenia sa poskytnú bez toho, aby boli dotknuté kontroly alebo vyšetrovania ustanovené podľa vnútroštátnych pravidiel alebo pravidiel Únie. </w:t>
      </w:r>
    </w:p>
    <w:p w14:paraId="6A6607B1" w14:textId="6741EE5C" w:rsidR="0015216F" w:rsidRDefault="0015216F" w:rsidP="00BB3638">
      <w:pPr>
        <w:jc w:val="both"/>
        <w:rPr>
          <w:rFonts w:ascii="Times New Roman" w:hAnsi="Times New Roman" w:cs="Times New Roman"/>
          <w:sz w:val="24"/>
          <w:szCs w:val="24"/>
        </w:rPr>
      </w:pPr>
    </w:p>
    <w:p w14:paraId="4A70C853" w14:textId="0B8F86A8" w:rsidR="00373F0C" w:rsidRPr="00373F0C" w:rsidRDefault="000B04F6" w:rsidP="00373F0C">
      <w:pPr>
        <w:jc w:val="center"/>
        <w:rPr>
          <w:rFonts w:ascii="Times New Roman" w:hAnsi="Times New Roman" w:cs="Times New Roman"/>
          <w:b/>
          <w:bCs/>
          <w:i/>
          <w:iCs/>
          <w:sz w:val="24"/>
          <w:szCs w:val="24"/>
          <w:u w:val="single"/>
        </w:rPr>
      </w:pPr>
      <w:r w:rsidRPr="00373F0C">
        <w:rPr>
          <w:rFonts w:ascii="Times New Roman" w:hAnsi="Times New Roman" w:cs="Times New Roman"/>
          <w:b/>
          <w:bCs/>
          <w:i/>
          <w:iCs/>
          <w:sz w:val="24"/>
          <w:szCs w:val="24"/>
          <w:u w:val="single"/>
        </w:rPr>
        <w:t>Článok 4</w:t>
      </w:r>
    </w:p>
    <w:p w14:paraId="222E31CB" w14:textId="1C2D8CF0" w:rsidR="00373F0C" w:rsidRPr="00373F0C" w:rsidRDefault="000B04F6" w:rsidP="00373F0C">
      <w:pPr>
        <w:jc w:val="center"/>
        <w:rPr>
          <w:rFonts w:ascii="Times New Roman" w:hAnsi="Times New Roman" w:cs="Times New Roman"/>
          <w:b/>
          <w:bCs/>
          <w:i/>
          <w:iCs/>
          <w:sz w:val="24"/>
          <w:szCs w:val="24"/>
          <w:u w:val="single"/>
        </w:rPr>
      </w:pPr>
      <w:r w:rsidRPr="00373F0C">
        <w:rPr>
          <w:rFonts w:ascii="Times New Roman" w:hAnsi="Times New Roman" w:cs="Times New Roman"/>
          <w:b/>
          <w:bCs/>
          <w:i/>
          <w:iCs/>
          <w:sz w:val="24"/>
          <w:szCs w:val="24"/>
          <w:u w:val="single"/>
        </w:rPr>
        <w:t>Údaje používané v prípade počtu zamestnancov a finančných súm a referenčné obdobie</w:t>
      </w:r>
    </w:p>
    <w:p w14:paraId="61D08119" w14:textId="2BF6BFC4" w:rsidR="00373F0C" w:rsidRDefault="000B04F6" w:rsidP="00B90D1B">
      <w:pPr>
        <w:pStyle w:val="Odsekzoznamu"/>
        <w:numPr>
          <w:ilvl w:val="0"/>
          <w:numId w:val="13"/>
        </w:numPr>
        <w:jc w:val="both"/>
        <w:rPr>
          <w:rFonts w:ascii="Times New Roman" w:hAnsi="Times New Roman" w:cs="Times New Roman"/>
          <w:sz w:val="24"/>
          <w:szCs w:val="24"/>
        </w:rPr>
      </w:pPr>
      <w:r w:rsidRPr="00B90D1B">
        <w:rPr>
          <w:rFonts w:ascii="Times New Roman" w:hAnsi="Times New Roman" w:cs="Times New Roman"/>
          <w:sz w:val="24"/>
          <w:szCs w:val="24"/>
        </w:rPr>
        <w:t xml:space="preserve">Údajmi používanými pri výpočte počtu zamestnancov a finančných súm sú údaje týkajúce sa posledného schváleného účtovného obdobia a vypočítané na ročnom základe. Zohľadňujú sa odo dňa účtovnej uzávierky. Výška zvoleného obratu sa vypočíta bez dane z pridanej hodnoty (DPH) a iných nepriamych daní. </w:t>
      </w:r>
    </w:p>
    <w:p w14:paraId="34277A1A" w14:textId="77777777" w:rsidR="00B90D1B" w:rsidRPr="00B90D1B" w:rsidRDefault="00B90D1B" w:rsidP="00B90D1B">
      <w:pPr>
        <w:pStyle w:val="Odsekzoznamu"/>
        <w:jc w:val="both"/>
        <w:rPr>
          <w:rFonts w:ascii="Times New Roman" w:hAnsi="Times New Roman" w:cs="Times New Roman"/>
          <w:sz w:val="24"/>
          <w:szCs w:val="24"/>
        </w:rPr>
      </w:pPr>
    </w:p>
    <w:p w14:paraId="09D8B836" w14:textId="72E1A1AC" w:rsidR="00B90D1B" w:rsidRDefault="000B04F6" w:rsidP="00B90D1B">
      <w:pPr>
        <w:pStyle w:val="Odsekzoznamu"/>
        <w:numPr>
          <w:ilvl w:val="0"/>
          <w:numId w:val="13"/>
        </w:numPr>
        <w:spacing w:after="0"/>
        <w:jc w:val="both"/>
        <w:rPr>
          <w:rFonts w:ascii="Times New Roman" w:hAnsi="Times New Roman" w:cs="Times New Roman"/>
          <w:sz w:val="24"/>
          <w:szCs w:val="24"/>
        </w:rPr>
      </w:pPr>
      <w:r w:rsidRPr="00B90D1B">
        <w:rPr>
          <w:rFonts w:ascii="Times New Roman" w:hAnsi="Times New Roman" w:cs="Times New Roman"/>
          <w:sz w:val="24"/>
          <w:szCs w:val="24"/>
        </w:rPr>
        <w:t xml:space="preserve">Ak podnik v deň účtovnej uzávierky zistí, že na ročnom základe prekročil počet zamestnancov alebo finančné limity stanovené v článku 2, alebo klesol pod tento počet zamestnancov a finančné limity, nebude to mať za následok stratu alebo nadobudnutie štatútu stredného, malého podniku alebo mikropodniku, pokiaľ sa tieto limity neprekročili v dvoch po sebe nasledujúcich účtovných obdobiach. </w:t>
      </w:r>
    </w:p>
    <w:p w14:paraId="55043227" w14:textId="77777777" w:rsidR="00B90D1B" w:rsidRPr="00B90D1B" w:rsidRDefault="00B90D1B" w:rsidP="00B90D1B">
      <w:pPr>
        <w:spacing w:after="0"/>
        <w:jc w:val="both"/>
        <w:rPr>
          <w:rFonts w:ascii="Times New Roman" w:hAnsi="Times New Roman" w:cs="Times New Roman"/>
          <w:sz w:val="24"/>
          <w:szCs w:val="24"/>
        </w:rPr>
      </w:pPr>
    </w:p>
    <w:p w14:paraId="15E96072" w14:textId="1A644C4F" w:rsidR="00B90D1B" w:rsidRPr="00B90D1B" w:rsidRDefault="000B04F6" w:rsidP="00B90D1B">
      <w:pPr>
        <w:pStyle w:val="Odsekzoznamu"/>
        <w:numPr>
          <w:ilvl w:val="0"/>
          <w:numId w:val="13"/>
        </w:numPr>
        <w:spacing w:after="0"/>
        <w:jc w:val="both"/>
        <w:rPr>
          <w:rFonts w:ascii="Times New Roman" w:hAnsi="Times New Roman" w:cs="Times New Roman"/>
          <w:sz w:val="24"/>
          <w:szCs w:val="24"/>
        </w:rPr>
      </w:pPr>
      <w:r w:rsidRPr="00B90D1B">
        <w:rPr>
          <w:rFonts w:ascii="Times New Roman" w:hAnsi="Times New Roman" w:cs="Times New Roman"/>
          <w:sz w:val="24"/>
          <w:szCs w:val="24"/>
        </w:rPr>
        <w:t xml:space="preserve">V prípade novozaložených podnikov, ktorých účtovné uzávierky ešte neboli schválené, sa uplatnia údaje získané čestným odhadom vykonaným v priebehu finančného roku. </w:t>
      </w:r>
    </w:p>
    <w:p w14:paraId="6687D0AB" w14:textId="77777777" w:rsidR="00B90D1B" w:rsidRDefault="00B90D1B" w:rsidP="00B90D1B">
      <w:pPr>
        <w:jc w:val="center"/>
        <w:rPr>
          <w:rFonts w:ascii="Times New Roman" w:hAnsi="Times New Roman" w:cs="Times New Roman"/>
          <w:b/>
          <w:bCs/>
          <w:i/>
          <w:iCs/>
          <w:sz w:val="24"/>
          <w:szCs w:val="24"/>
          <w:u w:val="single"/>
        </w:rPr>
      </w:pPr>
    </w:p>
    <w:p w14:paraId="00938717" w14:textId="2EA40CB2" w:rsidR="00B90D1B" w:rsidRPr="00B90D1B" w:rsidRDefault="000B04F6" w:rsidP="00B90D1B">
      <w:pPr>
        <w:jc w:val="center"/>
        <w:rPr>
          <w:rFonts w:ascii="Times New Roman" w:hAnsi="Times New Roman" w:cs="Times New Roman"/>
          <w:b/>
          <w:bCs/>
          <w:i/>
          <w:iCs/>
          <w:sz w:val="24"/>
          <w:szCs w:val="24"/>
          <w:u w:val="single"/>
        </w:rPr>
      </w:pPr>
      <w:r w:rsidRPr="00B90D1B">
        <w:rPr>
          <w:rFonts w:ascii="Times New Roman" w:hAnsi="Times New Roman" w:cs="Times New Roman"/>
          <w:b/>
          <w:bCs/>
          <w:i/>
          <w:iCs/>
          <w:sz w:val="24"/>
          <w:szCs w:val="24"/>
          <w:u w:val="single"/>
        </w:rPr>
        <w:t>Článok 5</w:t>
      </w:r>
    </w:p>
    <w:p w14:paraId="6DD163FF" w14:textId="41F3522B" w:rsidR="00B90D1B" w:rsidRPr="00B90D1B" w:rsidRDefault="000B04F6" w:rsidP="00B90D1B">
      <w:pPr>
        <w:jc w:val="center"/>
        <w:rPr>
          <w:rFonts w:ascii="Times New Roman" w:hAnsi="Times New Roman" w:cs="Times New Roman"/>
          <w:b/>
          <w:bCs/>
          <w:i/>
          <w:iCs/>
          <w:sz w:val="24"/>
          <w:szCs w:val="24"/>
          <w:u w:val="single"/>
        </w:rPr>
      </w:pPr>
      <w:r w:rsidRPr="00B90D1B">
        <w:rPr>
          <w:rFonts w:ascii="Times New Roman" w:hAnsi="Times New Roman" w:cs="Times New Roman"/>
          <w:b/>
          <w:bCs/>
          <w:i/>
          <w:iCs/>
          <w:sz w:val="24"/>
          <w:szCs w:val="24"/>
          <w:u w:val="single"/>
        </w:rPr>
        <w:t>Počet zamestnancov</w:t>
      </w:r>
    </w:p>
    <w:p w14:paraId="2F60876B" w14:textId="77777777" w:rsidR="00F12960" w:rsidRDefault="000B04F6" w:rsidP="00AD0CA3">
      <w:pPr>
        <w:ind w:left="720"/>
        <w:jc w:val="both"/>
        <w:rPr>
          <w:rFonts w:ascii="Times New Roman" w:hAnsi="Times New Roman" w:cs="Times New Roman"/>
          <w:sz w:val="24"/>
          <w:szCs w:val="24"/>
        </w:rPr>
      </w:pPr>
      <w:r w:rsidRPr="000B04F6">
        <w:rPr>
          <w:rFonts w:ascii="Times New Roman" w:hAnsi="Times New Roman" w:cs="Times New Roman"/>
          <w:sz w:val="24"/>
          <w:szCs w:val="24"/>
        </w:rPr>
        <w:t xml:space="preserve">Počet zamestnancov zodpovedá počtu ročných pracovných jednotiek (RPJ), t. j. počtu osôb, ktoré v príslušnom podniku alebo v jeho mene pracovali na plný úväzok počas celého posudzovaného referenčného roku. Práca osôb, ktoré nepracovali celý rok, práca osôb, ktoré pracovali na kratší pracovný čas bez ohľadu na jeho trvanie, a práca sezónnych zamestnancov sa započítava ako podiely RPJ. </w:t>
      </w:r>
    </w:p>
    <w:p w14:paraId="6E2B6AD6" w14:textId="77777777" w:rsidR="00F12960" w:rsidRDefault="000B04F6" w:rsidP="00AD0CA3">
      <w:pPr>
        <w:ind w:firstLine="720"/>
        <w:jc w:val="both"/>
        <w:rPr>
          <w:rFonts w:ascii="Times New Roman" w:hAnsi="Times New Roman" w:cs="Times New Roman"/>
          <w:sz w:val="24"/>
          <w:szCs w:val="24"/>
        </w:rPr>
      </w:pPr>
      <w:r w:rsidRPr="000B04F6">
        <w:rPr>
          <w:rFonts w:ascii="Times New Roman" w:hAnsi="Times New Roman" w:cs="Times New Roman"/>
          <w:sz w:val="24"/>
          <w:szCs w:val="24"/>
        </w:rPr>
        <w:t xml:space="preserve">Zamestnancami sú: </w:t>
      </w:r>
    </w:p>
    <w:p w14:paraId="4EB3798E" w14:textId="2C6DDEDF" w:rsidR="00F12960" w:rsidRPr="00F12960" w:rsidRDefault="000B04F6" w:rsidP="00F12960">
      <w:pPr>
        <w:pStyle w:val="Odsekzoznamu"/>
        <w:numPr>
          <w:ilvl w:val="1"/>
          <w:numId w:val="14"/>
        </w:numPr>
        <w:jc w:val="both"/>
        <w:rPr>
          <w:rFonts w:ascii="Times New Roman" w:hAnsi="Times New Roman" w:cs="Times New Roman"/>
          <w:sz w:val="24"/>
          <w:szCs w:val="24"/>
        </w:rPr>
      </w:pPr>
      <w:r w:rsidRPr="00F12960">
        <w:rPr>
          <w:rFonts w:ascii="Times New Roman" w:hAnsi="Times New Roman" w:cs="Times New Roman"/>
          <w:sz w:val="24"/>
          <w:szCs w:val="24"/>
        </w:rPr>
        <w:t xml:space="preserve">zamestnanci; </w:t>
      </w:r>
    </w:p>
    <w:p w14:paraId="1D0F1E16" w14:textId="028EEE52" w:rsidR="00F12960" w:rsidRPr="00F12960" w:rsidRDefault="000B04F6" w:rsidP="00F12960">
      <w:pPr>
        <w:pStyle w:val="Odsekzoznamu"/>
        <w:numPr>
          <w:ilvl w:val="1"/>
          <w:numId w:val="14"/>
        </w:numPr>
        <w:jc w:val="both"/>
        <w:rPr>
          <w:rFonts w:ascii="Times New Roman" w:hAnsi="Times New Roman" w:cs="Times New Roman"/>
          <w:sz w:val="24"/>
          <w:szCs w:val="24"/>
        </w:rPr>
      </w:pPr>
      <w:r w:rsidRPr="00F12960">
        <w:rPr>
          <w:rFonts w:ascii="Times New Roman" w:hAnsi="Times New Roman" w:cs="Times New Roman"/>
          <w:sz w:val="24"/>
          <w:szCs w:val="24"/>
        </w:rPr>
        <w:t xml:space="preserve">osoby pracujúce pre podnik v podriadenom postavení, ktoré sa podľa vnútroštátnych právnych predpisov považujú za zamestnancov; </w:t>
      </w:r>
    </w:p>
    <w:p w14:paraId="2E53C12B" w14:textId="4F22AC07" w:rsidR="00F12960" w:rsidRPr="00F12960" w:rsidRDefault="000B04F6" w:rsidP="00F12960">
      <w:pPr>
        <w:pStyle w:val="Odsekzoznamu"/>
        <w:numPr>
          <w:ilvl w:val="1"/>
          <w:numId w:val="14"/>
        </w:numPr>
        <w:jc w:val="both"/>
        <w:rPr>
          <w:rFonts w:ascii="Times New Roman" w:hAnsi="Times New Roman" w:cs="Times New Roman"/>
          <w:sz w:val="24"/>
          <w:szCs w:val="24"/>
        </w:rPr>
      </w:pPr>
      <w:r w:rsidRPr="00F12960">
        <w:rPr>
          <w:rFonts w:ascii="Times New Roman" w:hAnsi="Times New Roman" w:cs="Times New Roman"/>
          <w:sz w:val="24"/>
          <w:szCs w:val="24"/>
        </w:rPr>
        <w:t xml:space="preserve">vlastníci-manažéri; </w:t>
      </w:r>
    </w:p>
    <w:p w14:paraId="215BA74C" w14:textId="131468B1" w:rsidR="00F12960" w:rsidRPr="00F12960" w:rsidRDefault="000B04F6" w:rsidP="00F12960">
      <w:pPr>
        <w:pStyle w:val="Odsekzoznamu"/>
        <w:numPr>
          <w:ilvl w:val="1"/>
          <w:numId w:val="14"/>
        </w:numPr>
        <w:jc w:val="both"/>
        <w:rPr>
          <w:rFonts w:ascii="Times New Roman" w:hAnsi="Times New Roman" w:cs="Times New Roman"/>
          <w:sz w:val="24"/>
          <w:szCs w:val="24"/>
        </w:rPr>
      </w:pPr>
      <w:r w:rsidRPr="00F12960">
        <w:rPr>
          <w:rFonts w:ascii="Times New Roman" w:hAnsi="Times New Roman" w:cs="Times New Roman"/>
          <w:sz w:val="24"/>
          <w:szCs w:val="24"/>
        </w:rPr>
        <w:t xml:space="preserve">partneri vykonávajúci pravidelnú činnosť v podniku, ktorí majú finančný prospech z podniku. </w:t>
      </w:r>
    </w:p>
    <w:p w14:paraId="0176F492" w14:textId="4EBC1AC4" w:rsidR="00F12960" w:rsidRDefault="000B04F6" w:rsidP="00AD0CA3">
      <w:pPr>
        <w:ind w:left="720"/>
        <w:jc w:val="both"/>
        <w:rPr>
          <w:rFonts w:ascii="Times New Roman" w:hAnsi="Times New Roman" w:cs="Times New Roman"/>
          <w:sz w:val="24"/>
          <w:szCs w:val="24"/>
        </w:rPr>
      </w:pPr>
      <w:r w:rsidRPr="000B04F6">
        <w:rPr>
          <w:rFonts w:ascii="Times New Roman" w:hAnsi="Times New Roman" w:cs="Times New Roman"/>
          <w:sz w:val="24"/>
          <w:szCs w:val="24"/>
        </w:rPr>
        <w:t>Učni alebo študenti, ktorí sa zúčastňujú na odbornom vzdelávaní na základe učňovskej zmluvy alebo zmluvy o odbornom výcviku, sa nepovažujú za zamestnancov. Doba trvania materskej alebo rodičovskej dovolenky sa nezapočítava.</w:t>
      </w:r>
    </w:p>
    <w:p w14:paraId="1D12530D" w14:textId="423D4643" w:rsidR="00F12960" w:rsidRPr="00F12960" w:rsidRDefault="000B04F6" w:rsidP="00F12960">
      <w:pPr>
        <w:jc w:val="center"/>
        <w:rPr>
          <w:rFonts w:ascii="Times New Roman" w:hAnsi="Times New Roman" w:cs="Times New Roman"/>
          <w:b/>
          <w:bCs/>
          <w:i/>
          <w:iCs/>
          <w:sz w:val="24"/>
          <w:szCs w:val="24"/>
          <w:u w:val="single"/>
        </w:rPr>
      </w:pPr>
      <w:r w:rsidRPr="00F12960">
        <w:rPr>
          <w:rFonts w:ascii="Times New Roman" w:hAnsi="Times New Roman" w:cs="Times New Roman"/>
          <w:b/>
          <w:bCs/>
          <w:i/>
          <w:iCs/>
          <w:sz w:val="24"/>
          <w:szCs w:val="24"/>
          <w:u w:val="single"/>
        </w:rPr>
        <w:lastRenderedPageBreak/>
        <w:t>Článok 6</w:t>
      </w:r>
    </w:p>
    <w:p w14:paraId="114C96AE" w14:textId="43BD42E5" w:rsidR="00F12960" w:rsidRPr="00F12960" w:rsidRDefault="000B04F6" w:rsidP="00F12960">
      <w:pPr>
        <w:jc w:val="center"/>
        <w:rPr>
          <w:rFonts w:ascii="Times New Roman" w:hAnsi="Times New Roman" w:cs="Times New Roman"/>
          <w:b/>
          <w:bCs/>
          <w:i/>
          <w:iCs/>
          <w:sz w:val="24"/>
          <w:szCs w:val="24"/>
          <w:u w:val="single"/>
        </w:rPr>
      </w:pPr>
      <w:r w:rsidRPr="00F12960">
        <w:rPr>
          <w:rFonts w:ascii="Times New Roman" w:hAnsi="Times New Roman" w:cs="Times New Roman"/>
          <w:b/>
          <w:bCs/>
          <w:i/>
          <w:iCs/>
          <w:sz w:val="24"/>
          <w:szCs w:val="24"/>
          <w:u w:val="single"/>
        </w:rPr>
        <w:t>Vyhotovenie údajov o podniku</w:t>
      </w:r>
    </w:p>
    <w:p w14:paraId="5521AA31" w14:textId="1502B587" w:rsidR="00AD0CA3" w:rsidRDefault="000B04F6" w:rsidP="00AD0CA3">
      <w:pPr>
        <w:pStyle w:val="Odsekzoznamu"/>
        <w:numPr>
          <w:ilvl w:val="0"/>
          <w:numId w:val="15"/>
        </w:numPr>
        <w:jc w:val="both"/>
        <w:rPr>
          <w:rFonts w:ascii="Times New Roman" w:hAnsi="Times New Roman" w:cs="Times New Roman"/>
          <w:sz w:val="24"/>
          <w:szCs w:val="24"/>
        </w:rPr>
      </w:pPr>
      <w:r w:rsidRPr="00AD0CA3">
        <w:rPr>
          <w:rFonts w:ascii="Times New Roman" w:hAnsi="Times New Roman" w:cs="Times New Roman"/>
          <w:sz w:val="24"/>
          <w:szCs w:val="24"/>
        </w:rPr>
        <w:t xml:space="preserve">V prípade samostatného podniku sa údaje, vrátane počtu zamestnancov určujú výlučne na základe účtovnej uzávierky tohto podniku. </w:t>
      </w:r>
    </w:p>
    <w:p w14:paraId="23FAAA6D" w14:textId="77777777" w:rsidR="00AD0CA3" w:rsidRPr="00AD0CA3" w:rsidRDefault="00AD0CA3" w:rsidP="00AD0CA3">
      <w:pPr>
        <w:pStyle w:val="Odsekzoznamu"/>
        <w:jc w:val="both"/>
        <w:rPr>
          <w:rFonts w:ascii="Times New Roman" w:hAnsi="Times New Roman" w:cs="Times New Roman"/>
          <w:sz w:val="24"/>
          <w:szCs w:val="24"/>
        </w:rPr>
      </w:pPr>
    </w:p>
    <w:p w14:paraId="7E6CFEC1" w14:textId="77777777" w:rsidR="00AD0CA3" w:rsidRDefault="000B04F6" w:rsidP="00AD0CA3">
      <w:pPr>
        <w:pStyle w:val="Odsekzoznamu"/>
        <w:numPr>
          <w:ilvl w:val="0"/>
          <w:numId w:val="15"/>
        </w:numPr>
        <w:spacing w:after="0"/>
        <w:jc w:val="both"/>
        <w:rPr>
          <w:rFonts w:ascii="Times New Roman" w:hAnsi="Times New Roman" w:cs="Times New Roman"/>
          <w:sz w:val="24"/>
          <w:szCs w:val="24"/>
        </w:rPr>
      </w:pPr>
      <w:r w:rsidRPr="00AD0CA3">
        <w:rPr>
          <w:rFonts w:ascii="Times New Roman" w:hAnsi="Times New Roman" w:cs="Times New Roman"/>
          <w:sz w:val="24"/>
          <w:szCs w:val="24"/>
        </w:rPr>
        <w:t>Údaje o podniku, ktorý má partnerský podnik alebo prepojené podniky, vrátane údajov o počte zamestnancov sa určia na základe účtovnej uzávierky a iných údajov o podniku alebo, ak je k dispozícii, podľa konsolidovanej účtovnej uzávierky podniku alebo konsolidovanej účtovnej závierky, do ktorej bol podnik zahrnutý prostredníctvom konsolidácie. K údajom uvedeným v prvom pododseku sa pripočítajú údaje každého partnerského podniku príslušného podniku, ktorý sa nachádza bezprostredne vo vyššom alebo nižšom postavení vo vzťahu k nemu. Výsledok je úmerný percentuálnemu podielu imania alebo hlasovacích práv (podľa toho, ktorá z hodnôt je vyššia). V prípade krížových podielov sa použije vyšší z týchto percentuálnych podielov. K údajom uvedeným v prvom a druhom pododseku sa pripočíta 100 % údajov každého podniku, ktorý je priamo alebo nepriamo prepojený s príslušným podnikom, ak už údaje neboli zahrnuté prostredníctvom konsolidácie do účtovnej závierky.</w:t>
      </w:r>
    </w:p>
    <w:p w14:paraId="6BC46CBB" w14:textId="7F0F062E" w:rsidR="00AD0CA3" w:rsidRPr="00AD0CA3" w:rsidRDefault="000B04F6" w:rsidP="00AD0CA3">
      <w:pPr>
        <w:spacing w:after="0"/>
        <w:jc w:val="both"/>
        <w:rPr>
          <w:rFonts w:ascii="Times New Roman" w:hAnsi="Times New Roman" w:cs="Times New Roman"/>
          <w:sz w:val="24"/>
          <w:szCs w:val="24"/>
        </w:rPr>
      </w:pPr>
      <w:r w:rsidRPr="00AD0CA3">
        <w:rPr>
          <w:rFonts w:ascii="Times New Roman" w:hAnsi="Times New Roman" w:cs="Times New Roman"/>
          <w:sz w:val="24"/>
          <w:szCs w:val="24"/>
        </w:rPr>
        <w:t xml:space="preserve"> </w:t>
      </w:r>
    </w:p>
    <w:p w14:paraId="67D61AB5" w14:textId="12622E52" w:rsidR="00AD0CA3" w:rsidRDefault="000B04F6" w:rsidP="00AD0CA3">
      <w:pPr>
        <w:pStyle w:val="Odsekzoznamu"/>
        <w:numPr>
          <w:ilvl w:val="0"/>
          <w:numId w:val="15"/>
        </w:numPr>
        <w:spacing w:after="0"/>
        <w:jc w:val="both"/>
        <w:rPr>
          <w:rFonts w:ascii="Times New Roman" w:hAnsi="Times New Roman" w:cs="Times New Roman"/>
          <w:sz w:val="24"/>
          <w:szCs w:val="24"/>
        </w:rPr>
      </w:pPr>
      <w:r w:rsidRPr="00AD0CA3">
        <w:rPr>
          <w:rFonts w:ascii="Times New Roman" w:hAnsi="Times New Roman" w:cs="Times New Roman"/>
          <w:sz w:val="24"/>
          <w:szCs w:val="24"/>
        </w:rPr>
        <w:t xml:space="preserve">Na účely uplatnenia odseku 2 sa údaje partnerských podnikov príslušného podniku odvodzujú z ich účtovných uzávierok a ostatných údajov - konsolidovaných, ak existujú. K týmto údajom sa pripočíta 100 % údajov podnikov, ktoré sú prepojené s týmito partnerskými podnikmi, pokiaľ ich účtovné údaje už nie sú zahrnuté prostredníctvom konsolidácie. Na účely uplatnenia toho istého odseku 2 sa údaje podnikov, ktoré sú prepojené s príslušným podnikom, odvodzujú z ich účtovných uzávierok a ostatných údajov - konsolidovaných, ak existujú. K týmto údajom sa pomerne pripočítajú údaje každého prípadného partnerského podniku tohto prepojeného podniku, ktorý sa nachádza bezprostredne vo vyššom alebo nižšom postavení vo vzťahu k nemu, pokiaľ už tieto údaje neboli zahrnuté do konsolidovanej účtovnej závierkach v podiele zodpovedajúcom prinajmenšom percentuálnemu podielu určenému v odseku 2 druhom pododseku. </w:t>
      </w:r>
    </w:p>
    <w:p w14:paraId="5B97A973" w14:textId="77777777" w:rsidR="00AD0CA3" w:rsidRPr="00AD0CA3" w:rsidRDefault="00AD0CA3" w:rsidP="00AD0CA3">
      <w:pPr>
        <w:spacing w:after="0"/>
        <w:jc w:val="both"/>
        <w:rPr>
          <w:rFonts w:ascii="Times New Roman" w:hAnsi="Times New Roman" w:cs="Times New Roman"/>
          <w:sz w:val="24"/>
          <w:szCs w:val="24"/>
        </w:rPr>
      </w:pPr>
    </w:p>
    <w:p w14:paraId="098AD5EA" w14:textId="6E131C84" w:rsidR="00B364C2" w:rsidRPr="00AD0CA3" w:rsidRDefault="000B04F6" w:rsidP="00AD0CA3">
      <w:pPr>
        <w:pStyle w:val="Odsekzoznamu"/>
        <w:numPr>
          <w:ilvl w:val="0"/>
          <w:numId w:val="15"/>
        </w:numPr>
        <w:jc w:val="both"/>
        <w:rPr>
          <w:rFonts w:ascii="Times New Roman" w:hAnsi="Times New Roman" w:cs="Times New Roman"/>
          <w:sz w:val="24"/>
          <w:szCs w:val="24"/>
        </w:rPr>
      </w:pPr>
      <w:r w:rsidRPr="00AD0CA3">
        <w:rPr>
          <w:rFonts w:ascii="Times New Roman" w:hAnsi="Times New Roman" w:cs="Times New Roman"/>
          <w:sz w:val="24"/>
          <w:szCs w:val="24"/>
        </w:rPr>
        <w:t>Ak sa v konsolidovanej účtovnej závierke neuvádzajú za daný podnik údaje o zamestnancoch, čísla týkajúce sa zamestnancov sa vypočítajú úmerne na základe súhrnu údajov z jeho partnerských podnikov a pripočítaním údajov z podnikov, s ktorými je príslušný podnik prepojený.</w:t>
      </w:r>
    </w:p>
    <w:sectPr w:rsidR="00B364C2" w:rsidRPr="00AD0CA3" w:rsidSect="00146181">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8CE0" w14:textId="77777777" w:rsidR="001D2DFF" w:rsidRDefault="001D2DFF" w:rsidP="00672995">
      <w:pPr>
        <w:spacing w:after="0" w:line="240" w:lineRule="auto"/>
      </w:pPr>
      <w:r>
        <w:separator/>
      </w:r>
    </w:p>
  </w:endnote>
  <w:endnote w:type="continuationSeparator" w:id="0">
    <w:p w14:paraId="2577D78D" w14:textId="77777777" w:rsidR="001D2DFF" w:rsidRDefault="001D2DFF" w:rsidP="006729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FE41" w14:textId="77777777" w:rsidR="001D2DFF" w:rsidRDefault="001D2DFF" w:rsidP="00672995">
      <w:pPr>
        <w:spacing w:after="0" w:line="240" w:lineRule="auto"/>
      </w:pPr>
      <w:r>
        <w:separator/>
      </w:r>
    </w:p>
  </w:footnote>
  <w:footnote w:type="continuationSeparator" w:id="0">
    <w:p w14:paraId="17ECE9AD" w14:textId="77777777" w:rsidR="001D2DFF" w:rsidRDefault="001D2DFF" w:rsidP="006729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51C1" w14:textId="26AC4E0A" w:rsidR="00146181" w:rsidRDefault="00146181">
    <w:pPr>
      <w:pStyle w:val="Hlavika"/>
    </w:pPr>
  </w:p>
  <w:p w14:paraId="5D9C5081" w14:textId="77777777" w:rsidR="00672995" w:rsidRDefault="0067299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1229C" w14:textId="121C5A2D" w:rsidR="00146181" w:rsidRPr="00146181" w:rsidRDefault="00146181" w:rsidP="00146181">
    <w:pPr>
      <w:pStyle w:val="Hlavika"/>
      <w:rPr>
        <w:rFonts w:ascii="Times New Roman" w:hAnsi="Times New Roman" w:cs="Times New Roman"/>
        <w:b/>
        <w:bCs/>
        <w:sz w:val="20"/>
        <w:szCs w:val="20"/>
      </w:rPr>
    </w:pPr>
    <w:r>
      <w:rPr>
        <w:rFonts w:ascii="Times New Roman" w:hAnsi="Times New Roman" w:cs="Times New Roman"/>
        <w:b/>
        <w:bCs/>
        <w:sz w:val="20"/>
        <w:szCs w:val="20"/>
      </w:rPr>
      <w:tab/>
    </w:r>
    <w:r>
      <w:rPr>
        <w:rFonts w:ascii="Times New Roman" w:hAnsi="Times New Roman" w:cs="Times New Roman"/>
        <w:b/>
        <w:bCs/>
        <w:sz w:val="20"/>
        <w:szCs w:val="20"/>
      </w:rPr>
      <w:tab/>
    </w:r>
    <w:r w:rsidRPr="00146181">
      <w:rPr>
        <w:rFonts w:ascii="Times New Roman" w:hAnsi="Times New Roman" w:cs="Times New Roman"/>
        <w:b/>
        <w:bCs/>
        <w:sz w:val="20"/>
        <w:szCs w:val="20"/>
      </w:rPr>
      <w:t>Príloha č. 2</w:t>
    </w:r>
  </w:p>
  <w:p w14:paraId="5AC25153" w14:textId="77777777" w:rsidR="00146181" w:rsidRDefault="0014618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BCC"/>
    <w:multiLevelType w:val="multilevel"/>
    <w:tmpl w:val="2F1C9CA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026558"/>
    <w:multiLevelType w:val="hybridMultilevel"/>
    <w:tmpl w:val="5D6A11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E6F36"/>
    <w:multiLevelType w:val="multilevel"/>
    <w:tmpl w:val="E5C0B9E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23D5F1B"/>
    <w:multiLevelType w:val="multilevel"/>
    <w:tmpl w:val="2F1C9CA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8523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0D11D3"/>
    <w:multiLevelType w:val="hybridMultilevel"/>
    <w:tmpl w:val="C12688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42FB9"/>
    <w:multiLevelType w:val="hybridMultilevel"/>
    <w:tmpl w:val="A3B601E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EF141C"/>
    <w:multiLevelType w:val="hybridMultilevel"/>
    <w:tmpl w:val="76763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C6AC6"/>
    <w:multiLevelType w:val="multilevel"/>
    <w:tmpl w:val="E5C0B9E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9" w15:restartNumberingAfterBreak="0">
    <w:nsid w:val="496906E2"/>
    <w:multiLevelType w:val="multilevel"/>
    <w:tmpl w:val="FBD269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FFD6BBA"/>
    <w:multiLevelType w:val="hybridMultilevel"/>
    <w:tmpl w:val="B31232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D32328"/>
    <w:multiLevelType w:val="hybridMultilevel"/>
    <w:tmpl w:val="1CDEB662"/>
    <w:lvl w:ilvl="0" w:tplc="3C7CC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7023A0"/>
    <w:multiLevelType w:val="hybridMultilevel"/>
    <w:tmpl w:val="F10AD7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1A7306"/>
    <w:multiLevelType w:val="hybridMultilevel"/>
    <w:tmpl w:val="2BAE0B6E"/>
    <w:lvl w:ilvl="0" w:tplc="3E48D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5591A"/>
    <w:multiLevelType w:val="multilevel"/>
    <w:tmpl w:val="E5C0B9E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631712929">
    <w:abstractNumId w:val="7"/>
  </w:num>
  <w:num w:numId="2" w16cid:durableId="461995947">
    <w:abstractNumId w:val="13"/>
  </w:num>
  <w:num w:numId="3" w16cid:durableId="515925988">
    <w:abstractNumId w:val="10"/>
  </w:num>
  <w:num w:numId="4" w16cid:durableId="1790586382">
    <w:abstractNumId w:val="4"/>
  </w:num>
  <w:num w:numId="5" w16cid:durableId="1188760543">
    <w:abstractNumId w:val="11"/>
  </w:num>
  <w:num w:numId="6" w16cid:durableId="2045131385">
    <w:abstractNumId w:val="8"/>
  </w:num>
  <w:num w:numId="7" w16cid:durableId="1653563528">
    <w:abstractNumId w:val="5"/>
  </w:num>
  <w:num w:numId="8" w16cid:durableId="1305740463">
    <w:abstractNumId w:val="12"/>
  </w:num>
  <w:num w:numId="9" w16cid:durableId="1121605096">
    <w:abstractNumId w:val="9"/>
  </w:num>
  <w:num w:numId="10" w16cid:durableId="2002999837">
    <w:abstractNumId w:val="6"/>
  </w:num>
  <w:num w:numId="11" w16cid:durableId="277612164">
    <w:abstractNumId w:val="0"/>
  </w:num>
  <w:num w:numId="12" w16cid:durableId="1244073370">
    <w:abstractNumId w:val="3"/>
  </w:num>
  <w:num w:numId="13" w16cid:durableId="1869952907">
    <w:abstractNumId w:val="2"/>
  </w:num>
  <w:num w:numId="14" w16cid:durableId="199510157">
    <w:abstractNumId w:val="1"/>
  </w:num>
  <w:num w:numId="15" w16cid:durableId="6435849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F6"/>
    <w:rsid w:val="000B04F6"/>
    <w:rsid w:val="00146181"/>
    <w:rsid w:val="0015216F"/>
    <w:rsid w:val="001D2DFF"/>
    <w:rsid w:val="00291704"/>
    <w:rsid w:val="00317073"/>
    <w:rsid w:val="00373F0C"/>
    <w:rsid w:val="004E509D"/>
    <w:rsid w:val="00672995"/>
    <w:rsid w:val="00AD0CA3"/>
    <w:rsid w:val="00B364C2"/>
    <w:rsid w:val="00B90D1B"/>
    <w:rsid w:val="00BB3638"/>
    <w:rsid w:val="00DF04BD"/>
    <w:rsid w:val="00E07CB5"/>
    <w:rsid w:val="00F12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9BA7"/>
  <w15:chartTrackingRefBased/>
  <w15:docId w15:val="{04082371-F200-440B-8FAC-48180742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0B04F6"/>
    <w:pPr>
      <w:ind w:left="720"/>
      <w:contextualSpacing/>
    </w:pPr>
  </w:style>
  <w:style w:type="paragraph" w:styleId="Hlavika">
    <w:name w:val="header"/>
    <w:basedOn w:val="Normlny"/>
    <w:link w:val="HlavikaChar"/>
    <w:uiPriority w:val="99"/>
    <w:unhideWhenUsed/>
    <w:rsid w:val="00672995"/>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672995"/>
    <w:rPr>
      <w:noProof/>
      <w:lang w:val="sk-SK"/>
    </w:rPr>
  </w:style>
  <w:style w:type="paragraph" w:styleId="Pta">
    <w:name w:val="footer"/>
    <w:basedOn w:val="Normlny"/>
    <w:link w:val="PtaChar"/>
    <w:uiPriority w:val="99"/>
    <w:unhideWhenUsed/>
    <w:rsid w:val="00672995"/>
    <w:pPr>
      <w:tabs>
        <w:tab w:val="center" w:pos="4680"/>
        <w:tab w:val="right" w:pos="9360"/>
      </w:tabs>
      <w:spacing w:after="0" w:line="240" w:lineRule="auto"/>
    </w:pPr>
  </w:style>
  <w:style w:type="character" w:customStyle="1" w:styleId="PtaChar">
    <w:name w:val="Päta Char"/>
    <w:basedOn w:val="Predvolenpsmoodseku"/>
    <w:link w:val="Pta"/>
    <w:uiPriority w:val="99"/>
    <w:rsid w:val="00672995"/>
    <w:rPr>
      <w:noProof/>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1360</Words>
  <Characters>7758</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M</dc:creator>
  <cp:keywords/>
  <dc:description/>
  <cp:lastModifiedBy>M M</cp:lastModifiedBy>
  <cp:revision>11</cp:revision>
  <dcterms:created xsi:type="dcterms:W3CDTF">2022-06-03T13:23:00Z</dcterms:created>
  <dcterms:modified xsi:type="dcterms:W3CDTF">2022-06-03T14:00:00Z</dcterms:modified>
</cp:coreProperties>
</file>