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B45" w:rsidRDefault="002A2B45" w:rsidP="002A2B45">
      <w:pPr>
        <w:widowControl/>
        <w:autoSpaceDE/>
        <w:autoSpaceDN/>
        <w:spacing w:after="160" w:line="259" w:lineRule="auto"/>
        <w:ind w:left="567"/>
        <w:jc w:val="center"/>
        <w:rPr>
          <w:rFonts w:eastAsia="Calibri"/>
          <w:i/>
          <w:iCs/>
          <w:sz w:val="28"/>
          <w:szCs w:val="28"/>
        </w:rPr>
      </w:pPr>
      <w:r w:rsidRPr="00AC11ED">
        <w:rPr>
          <w:rFonts w:eastAsia="Calibri"/>
          <w:i/>
          <w:iCs/>
          <w:sz w:val="28"/>
          <w:szCs w:val="28"/>
        </w:rPr>
        <w:t xml:space="preserve">PRÍLOHA </w:t>
      </w:r>
      <w:r>
        <w:rPr>
          <w:rFonts w:eastAsia="Calibri"/>
          <w:i/>
          <w:iCs/>
          <w:sz w:val="28"/>
          <w:szCs w:val="28"/>
        </w:rPr>
        <w:t>č. 1</w:t>
      </w:r>
    </w:p>
    <w:p w:rsidR="002A2B45" w:rsidRDefault="002A2B45" w:rsidP="002A2B45">
      <w:pPr>
        <w:widowControl/>
        <w:autoSpaceDE/>
        <w:autoSpaceDN/>
        <w:spacing w:after="160" w:line="259" w:lineRule="auto"/>
        <w:ind w:left="567" w:right="725"/>
        <w:jc w:val="center"/>
        <w:rPr>
          <w:i/>
          <w:iCs/>
          <w:caps/>
        </w:rPr>
      </w:pPr>
      <w:r w:rsidRPr="00B50CC7">
        <w:rPr>
          <w:i/>
          <w:iCs/>
          <w:caps/>
        </w:rPr>
        <w:t>k Schéme štátnej pomoci</w:t>
      </w:r>
      <w:r>
        <w:rPr>
          <w:i/>
          <w:iCs/>
          <w:caps/>
        </w:rPr>
        <w:t xml:space="preserve"> </w:t>
      </w:r>
      <w:r w:rsidRPr="00B50CC7">
        <w:rPr>
          <w:i/>
          <w:iCs/>
          <w:caps/>
        </w:rPr>
        <w:t>pre investície do</w:t>
      </w:r>
      <w:r>
        <w:rPr>
          <w:i/>
          <w:iCs/>
          <w:caps/>
        </w:rPr>
        <w:t xml:space="preserve"> zariadení spoločných vyšetrovacích a liečebných zložiek v rámci </w:t>
      </w:r>
      <w:r w:rsidRPr="00B50CC7">
        <w:rPr>
          <w:i/>
          <w:iCs/>
          <w:caps/>
        </w:rPr>
        <w:t xml:space="preserve"> </w:t>
      </w:r>
      <w:bookmarkStart w:id="0" w:name="_Hlk114693864"/>
      <w:r w:rsidRPr="001275B0">
        <w:rPr>
          <w:i/>
          <w:iCs/>
          <w:caps/>
        </w:rPr>
        <w:t xml:space="preserve">digitalizácie v zdravotníctve, </w:t>
      </w:r>
      <w:r w:rsidRPr="0023323B">
        <w:rPr>
          <w:i/>
          <w:iCs/>
          <w:caps/>
        </w:rPr>
        <w:t>psycho-sociálnych centier a</w:t>
      </w:r>
      <w:r>
        <w:rPr>
          <w:i/>
          <w:iCs/>
          <w:caps/>
        </w:rPr>
        <w:t> </w:t>
      </w:r>
      <w:r w:rsidRPr="0023323B">
        <w:rPr>
          <w:i/>
          <w:iCs/>
          <w:caps/>
        </w:rPr>
        <w:t>psychiatrických stacionárov</w:t>
      </w:r>
      <w:bookmarkEnd w:id="0"/>
      <w:r>
        <w:rPr>
          <w:i/>
          <w:iCs/>
          <w:caps/>
        </w:rPr>
        <w:br/>
      </w:r>
      <w:r w:rsidRPr="00B50CC7">
        <w:rPr>
          <w:i/>
          <w:iCs/>
          <w:caps/>
        </w:rPr>
        <w:t>z</w:t>
      </w:r>
      <w:r>
        <w:rPr>
          <w:i/>
          <w:iCs/>
          <w:caps/>
        </w:rPr>
        <w:t> </w:t>
      </w:r>
      <w:r w:rsidRPr="00B50CC7">
        <w:rPr>
          <w:i/>
          <w:iCs/>
          <w:caps/>
        </w:rPr>
        <w:t>prostriedkov Plánu obnovy a odolnosti SR</w:t>
      </w:r>
    </w:p>
    <w:p w:rsidR="002A2B45" w:rsidRPr="00B34E8A" w:rsidRDefault="002A2B45" w:rsidP="002A2B45">
      <w:pPr>
        <w:spacing w:line="263" w:lineRule="exact"/>
        <w:ind w:left="658"/>
        <w:jc w:val="center"/>
        <w:rPr>
          <w:i/>
        </w:rPr>
      </w:pPr>
      <w:r w:rsidRPr="00B34E8A">
        <w:rPr>
          <w:i/>
        </w:rPr>
        <w:t>Schéma štátnej pomoci vo forme náhrady za služby všeobecného hospodárskeho</w:t>
      </w:r>
      <w:r w:rsidRPr="00B34E8A">
        <w:rPr>
          <w:i/>
          <w:spacing w:val="-29"/>
        </w:rPr>
        <w:t xml:space="preserve"> </w:t>
      </w:r>
      <w:r w:rsidRPr="00B34E8A">
        <w:rPr>
          <w:i/>
        </w:rPr>
        <w:t>záujmu</w:t>
      </w:r>
    </w:p>
    <w:p w:rsidR="002A2B45" w:rsidRPr="003A270A" w:rsidRDefault="002A2B45" w:rsidP="002A2B45">
      <w:pPr>
        <w:widowControl/>
        <w:autoSpaceDE/>
        <w:autoSpaceDN/>
        <w:spacing w:after="160" w:line="259" w:lineRule="auto"/>
        <w:ind w:left="567" w:right="725"/>
        <w:jc w:val="center"/>
        <w:rPr>
          <w:i/>
          <w:iCs/>
          <w:caps/>
        </w:rPr>
      </w:pPr>
      <w:r w:rsidRPr="00B34E8A">
        <w:rPr>
          <w:i/>
        </w:rPr>
        <w:t xml:space="preserve">č. ŠP SVHZ – </w:t>
      </w:r>
      <w:r>
        <w:rPr>
          <w:i/>
        </w:rPr>
        <w:t>3</w:t>
      </w:r>
      <w:r w:rsidRPr="00B34E8A">
        <w:rPr>
          <w:i/>
        </w:rPr>
        <w:t>/2022</w:t>
      </w:r>
    </w:p>
    <w:p w:rsidR="002A2B45" w:rsidRDefault="002A2B45" w:rsidP="002A2B45">
      <w:pPr>
        <w:widowControl/>
        <w:autoSpaceDE/>
        <w:autoSpaceDN/>
        <w:spacing w:before="480" w:after="120" w:line="259" w:lineRule="auto"/>
        <w:ind w:left="567" w:right="726"/>
        <w:jc w:val="center"/>
        <w:rPr>
          <w:rFonts w:eastAsia="Calibri"/>
          <w:b/>
          <w:bCs/>
          <w:i/>
          <w:iCs/>
          <w:caps/>
          <w:sz w:val="28"/>
          <w:szCs w:val="28"/>
        </w:rPr>
      </w:pPr>
      <w:r w:rsidRPr="004E2551">
        <w:rPr>
          <w:rFonts w:eastAsia="Calibri"/>
          <w:b/>
          <w:bCs/>
          <w:i/>
          <w:iCs/>
          <w:caps/>
          <w:sz w:val="28"/>
          <w:szCs w:val="28"/>
        </w:rPr>
        <w:t>Metodika pre stanovenie výšky náhrady</w:t>
      </w:r>
      <w:r w:rsidRPr="005333B8">
        <w:rPr>
          <w:rFonts w:eastAsia="Calibri"/>
          <w:b/>
          <w:bCs/>
          <w:i/>
          <w:iCs/>
          <w:caps/>
          <w:sz w:val="28"/>
          <w:szCs w:val="28"/>
        </w:rPr>
        <w:t xml:space="preserve"> </w:t>
      </w:r>
      <w:r w:rsidRPr="004E2551">
        <w:rPr>
          <w:rFonts w:eastAsia="Calibri"/>
          <w:b/>
          <w:bCs/>
          <w:i/>
          <w:iCs/>
          <w:caps/>
          <w:sz w:val="28"/>
          <w:szCs w:val="28"/>
        </w:rPr>
        <w:t>poskytovanej zo</w:t>
      </w:r>
      <w:r>
        <w:rPr>
          <w:rFonts w:eastAsia="Calibri"/>
          <w:b/>
          <w:bCs/>
          <w:i/>
          <w:iCs/>
          <w:caps/>
          <w:sz w:val="28"/>
          <w:szCs w:val="28"/>
        </w:rPr>
        <w:t> </w:t>
      </w:r>
      <w:r w:rsidRPr="004E2551">
        <w:rPr>
          <w:rFonts w:eastAsia="Calibri"/>
          <w:b/>
          <w:bCs/>
          <w:i/>
          <w:iCs/>
          <w:caps/>
          <w:sz w:val="28"/>
          <w:szCs w:val="28"/>
        </w:rPr>
        <w:t xml:space="preserve">zdrojov </w:t>
      </w:r>
      <w:r>
        <w:rPr>
          <w:rFonts w:eastAsia="Calibri"/>
          <w:b/>
          <w:bCs/>
          <w:i/>
          <w:iCs/>
          <w:caps/>
          <w:sz w:val="28"/>
          <w:szCs w:val="28"/>
        </w:rPr>
        <w:t>POO SR</w:t>
      </w:r>
      <w:r w:rsidRPr="004E2551">
        <w:rPr>
          <w:rFonts w:eastAsia="Calibri"/>
          <w:b/>
          <w:bCs/>
          <w:i/>
          <w:iCs/>
          <w:caps/>
          <w:sz w:val="28"/>
          <w:szCs w:val="28"/>
        </w:rPr>
        <w:t xml:space="preserve"> a štátneho rozpočtu SR</w:t>
      </w:r>
      <w:r>
        <w:rPr>
          <w:rFonts w:eastAsia="Calibri"/>
          <w:b/>
          <w:bCs/>
          <w:i/>
          <w:iCs/>
          <w:caps/>
          <w:sz w:val="28"/>
          <w:szCs w:val="28"/>
        </w:rPr>
        <w:br/>
        <w:t xml:space="preserve">(ŠP SVHZ pre investície do </w:t>
      </w:r>
      <w:bookmarkStart w:id="1" w:name="_Hlk114695076"/>
      <w:r>
        <w:rPr>
          <w:rFonts w:eastAsia="Calibri"/>
          <w:b/>
          <w:bCs/>
          <w:i/>
          <w:iCs/>
          <w:caps/>
          <w:sz w:val="28"/>
          <w:szCs w:val="28"/>
        </w:rPr>
        <w:t xml:space="preserve">zariadení spoločných vyšetrovacích a liečebných zložiek v rámci </w:t>
      </w:r>
      <w:r w:rsidRPr="001275B0">
        <w:rPr>
          <w:rFonts w:eastAsia="Calibri"/>
          <w:b/>
          <w:bCs/>
          <w:i/>
          <w:iCs/>
          <w:caps/>
          <w:sz w:val="28"/>
          <w:szCs w:val="28"/>
        </w:rPr>
        <w:t xml:space="preserve">digitalizácie v zdravotníctve, </w:t>
      </w:r>
      <w:r w:rsidRPr="0023323B">
        <w:rPr>
          <w:rFonts w:eastAsia="Calibri"/>
          <w:b/>
          <w:bCs/>
          <w:i/>
          <w:iCs/>
          <w:caps/>
          <w:sz w:val="28"/>
          <w:szCs w:val="28"/>
        </w:rPr>
        <w:t>PSYCHO-SOCIÁLNYCH CENTIER A</w:t>
      </w:r>
      <w:r>
        <w:rPr>
          <w:rFonts w:eastAsia="Calibri"/>
          <w:b/>
          <w:bCs/>
          <w:i/>
          <w:iCs/>
          <w:caps/>
          <w:sz w:val="28"/>
          <w:szCs w:val="28"/>
        </w:rPr>
        <w:t> </w:t>
      </w:r>
      <w:r w:rsidRPr="0023323B">
        <w:rPr>
          <w:rFonts w:eastAsia="Calibri"/>
          <w:b/>
          <w:bCs/>
          <w:i/>
          <w:iCs/>
          <w:caps/>
          <w:sz w:val="28"/>
          <w:szCs w:val="28"/>
        </w:rPr>
        <w:t>PSYCHIATRICKÝCH STACIONÁROV</w:t>
      </w:r>
      <w:bookmarkEnd w:id="1"/>
      <w:r>
        <w:rPr>
          <w:rFonts w:eastAsia="Calibri"/>
          <w:b/>
          <w:bCs/>
          <w:i/>
          <w:iCs/>
          <w:caps/>
          <w:sz w:val="28"/>
          <w:szCs w:val="28"/>
        </w:rPr>
        <w:t xml:space="preserve"> z POO SR)</w:t>
      </w:r>
    </w:p>
    <w:p w:rsidR="002A2B45" w:rsidRPr="00093A8C" w:rsidRDefault="002A2B45" w:rsidP="002A2B45">
      <w:pPr>
        <w:widowControl/>
        <w:autoSpaceDE/>
        <w:autoSpaceDN/>
        <w:spacing w:before="120" w:after="160" w:line="259" w:lineRule="auto"/>
        <w:ind w:left="567" w:right="726"/>
        <w:jc w:val="center"/>
        <w:rPr>
          <w:rFonts w:eastAsia="Calibri"/>
          <w:b/>
          <w:bCs/>
          <w:i/>
          <w:iCs/>
          <w:caps/>
          <w:sz w:val="24"/>
          <w:szCs w:val="24"/>
        </w:rPr>
      </w:pPr>
      <w:r w:rsidRPr="00093A8C">
        <w:rPr>
          <w:rFonts w:eastAsia="Calibri"/>
          <w:b/>
          <w:bCs/>
          <w:i/>
          <w:iCs/>
          <w:caps/>
        </w:rPr>
        <w:t xml:space="preserve">v nadväznosti na Rozhodnutie Komisie č. 2012/21/EÚ </w:t>
      </w:r>
      <w:r>
        <w:rPr>
          <w:rFonts w:eastAsia="Calibri"/>
          <w:b/>
          <w:bCs/>
          <w:i/>
          <w:iCs/>
          <w:caps/>
        </w:rPr>
        <w:t xml:space="preserve">z 20.12.2011 </w:t>
      </w:r>
      <w:r w:rsidRPr="00093A8C">
        <w:rPr>
          <w:b/>
          <w:bCs/>
          <w:i/>
          <w:iCs/>
          <w:caps/>
        </w:rPr>
        <w:t>o uplatňovaní článku 106 ods. 2 Zmluvy o fungovaní EÚ na štátnu pomoc vo forme náhrady za službu vo verejnom záujme udeľovanej niektorým podnikom povereným poskytovaním služieb všeobecného hospodárskeho</w:t>
      </w:r>
      <w:r w:rsidRPr="00093A8C">
        <w:rPr>
          <w:b/>
          <w:bCs/>
          <w:i/>
          <w:iCs/>
          <w:caps/>
          <w:spacing w:val="-1"/>
        </w:rPr>
        <w:t xml:space="preserve"> </w:t>
      </w:r>
      <w:r w:rsidRPr="00093A8C">
        <w:rPr>
          <w:b/>
          <w:bCs/>
          <w:i/>
          <w:iCs/>
          <w:caps/>
        </w:rPr>
        <w:t>záujmu</w:t>
      </w:r>
    </w:p>
    <w:p w:rsidR="002A2B45" w:rsidRPr="001B2A3E" w:rsidRDefault="002A2B45" w:rsidP="002A2B45">
      <w:pPr>
        <w:pStyle w:val="Odsekzoznamu"/>
        <w:widowControl/>
        <w:numPr>
          <w:ilvl w:val="0"/>
          <w:numId w:val="1"/>
        </w:numPr>
        <w:autoSpaceDE/>
        <w:autoSpaceDN/>
        <w:spacing w:before="480" w:after="240" w:line="259" w:lineRule="auto"/>
        <w:ind w:left="992" w:hanging="425"/>
        <w:contextualSpacing/>
        <w:jc w:val="left"/>
        <w:rPr>
          <w:rFonts w:eastAsiaTheme="minorHAnsi"/>
          <w:b/>
          <w:bCs/>
          <w:sz w:val="24"/>
          <w:szCs w:val="24"/>
          <w:u w:val="single"/>
        </w:rPr>
      </w:pPr>
      <w:r w:rsidRPr="001B2A3E">
        <w:rPr>
          <w:rFonts w:eastAsiaTheme="minorHAnsi"/>
          <w:b/>
          <w:bCs/>
          <w:sz w:val="24"/>
          <w:szCs w:val="24"/>
          <w:u w:val="single"/>
        </w:rPr>
        <w:t>ÚVOD</w:t>
      </w:r>
    </w:p>
    <w:p w:rsidR="002A2B45" w:rsidRDefault="002A2B45" w:rsidP="002A2B45">
      <w:pPr>
        <w:pStyle w:val="Zkladntext"/>
        <w:spacing w:before="120" w:after="120"/>
        <w:ind w:left="567" w:right="726"/>
        <w:jc w:val="both"/>
      </w:pPr>
      <w:r>
        <w:t>Ministerstvo zdravotníctva SR poskytuje finančné prostriedky z rozpočtovej kapitoly Ministerstva zdravotníctva SR a z prostriedkov Plánu obnovy a odolnosti SR ako štátnu pomoc vo forme náhrady za služby vo verejnom záujme v súlade s Rozhodnutím Komisie č. 2012/21/EU z 20.12.2011 o uplatňovaní článku 106 ods. 2 Zmluvy o fungovaní EÚ na štátnu pomoc vo forme náhrady za službu vo verejnom záujme udeľovanej niektorým podnikom</w:t>
      </w:r>
      <w:r>
        <w:rPr>
          <w:spacing w:val="44"/>
        </w:rPr>
        <w:t xml:space="preserve"> </w:t>
      </w:r>
      <w:r>
        <w:t>povereným</w:t>
      </w:r>
      <w:r>
        <w:rPr>
          <w:spacing w:val="44"/>
        </w:rPr>
        <w:t xml:space="preserve"> </w:t>
      </w:r>
      <w:r>
        <w:t>poskytovaním</w:t>
      </w:r>
      <w:r>
        <w:rPr>
          <w:spacing w:val="44"/>
        </w:rPr>
        <w:t xml:space="preserve"> </w:t>
      </w:r>
      <w:r>
        <w:t>služieb</w:t>
      </w:r>
      <w:r>
        <w:rPr>
          <w:spacing w:val="43"/>
        </w:rPr>
        <w:t xml:space="preserve"> </w:t>
      </w:r>
      <w:r>
        <w:t>všeobecného</w:t>
      </w:r>
      <w:r>
        <w:rPr>
          <w:spacing w:val="47"/>
        </w:rPr>
        <w:t xml:space="preserve"> </w:t>
      </w:r>
      <w:r>
        <w:t>hospodárskeho</w:t>
      </w:r>
      <w:r>
        <w:rPr>
          <w:spacing w:val="44"/>
        </w:rPr>
        <w:t xml:space="preserve"> </w:t>
      </w:r>
      <w:r>
        <w:t>záujmu</w:t>
      </w:r>
      <w:r>
        <w:rPr>
          <w:spacing w:val="46"/>
        </w:rPr>
        <w:t xml:space="preserve"> </w:t>
      </w:r>
      <w:r>
        <w:t>(ďalej</w:t>
      </w:r>
      <w:r>
        <w:rPr>
          <w:spacing w:val="44"/>
        </w:rPr>
        <w:t xml:space="preserve"> </w:t>
      </w:r>
      <w:r>
        <w:t>len „rozhodnutie Komisie č. 2012/21/EÚ“).</w:t>
      </w:r>
    </w:p>
    <w:p w:rsidR="002A2B45" w:rsidRDefault="002A2B45" w:rsidP="002A2B45">
      <w:pPr>
        <w:pStyle w:val="Odsekzoznamu"/>
        <w:spacing w:after="120"/>
        <w:ind w:left="567" w:right="725" w:firstLine="0"/>
        <w:rPr>
          <w:smallCaps/>
          <w:sz w:val="24"/>
          <w:szCs w:val="24"/>
          <w:u w:val="single"/>
        </w:rPr>
      </w:pPr>
    </w:p>
    <w:p w:rsidR="002A2B45" w:rsidRPr="002F5B37" w:rsidRDefault="002A2B45" w:rsidP="002A2B45">
      <w:pPr>
        <w:pStyle w:val="Odsekzoznamu"/>
        <w:spacing w:after="120"/>
        <w:ind w:left="567" w:right="725" w:firstLine="0"/>
        <w:rPr>
          <w:smallCaps/>
          <w:sz w:val="24"/>
          <w:szCs w:val="24"/>
          <w:u w:val="single"/>
        </w:rPr>
      </w:pPr>
      <w:r w:rsidRPr="002F5B37">
        <w:rPr>
          <w:smallCaps/>
          <w:sz w:val="24"/>
          <w:szCs w:val="24"/>
          <w:u w:val="single"/>
        </w:rPr>
        <w:t>Definícia služby všeobecného hospodárskeho záujmu</w:t>
      </w:r>
    </w:p>
    <w:p w:rsidR="002A2B45" w:rsidRDefault="002A2B45" w:rsidP="002A2B45">
      <w:pPr>
        <w:pStyle w:val="Zkladntext"/>
        <w:spacing w:before="120" w:after="120"/>
        <w:ind w:left="567" w:right="725"/>
        <w:jc w:val="both"/>
      </w:pPr>
      <w:r>
        <w:t>Pod pojmom „služby vo verejnom záujme“ je v zmysle rozhodnutia Komisie č. 2012/21/EÚ</w:t>
      </w:r>
      <w:r w:rsidDel="002E45C3">
        <w:t xml:space="preserve"> </w:t>
      </w:r>
      <w:r>
        <w:t>možné rozumieť služby všeobecného hospodárskeho záujmu, v podmienkach zdravotníctva poskytovanie zdravotnej a dlhodobej starostlivosti v zdravotníckom zariadení ambulantnej zdravotnej starostlivosti alebo v zdravotníckom zariadení ústavnej zdravotnej</w:t>
      </w:r>
      <w:r>
        <w:rPr>
          <w:spacing w:val="-2"/>
        </w:rPr>
        <w:t xml:space="preserve"> </w:t>
      </w:r>
      <w:r>
        <w:t>starostlivosti.</w:t>
      </w:r>
    </w:p>
    <w:p w:rsidR="002A2B45" w:rsidRPr="00F00646" w:rsidRDefault="002A2B45" w:rsidP="002A2B45">
      <w:pPr>
        <w:pStyle w:val="Odsekzoznamu"/>
        <w:spacing w:before="120" w:after="120"/>
        <w:ind w:left="567" w:right="725" w:firstLine="0"/>
        <w:rPr>
          <w:sz w:val="24"/>
          <w:szCs w:val="24"/>
        </w:rPr>
      </w:pPr>
      <w:r>
        <w:rPr>
          <w:sz w:val="24"/>
          <w:szCs w:val="24"/>
        </w:rPr>
        <w:t>Pre účely tejto schémy sa z</w:t>
      </w:r>
      <w:r w:rsidRPr="00F00646">
        <w:rPr>
          <w:sz w:val="24"/>
          <w:szCs w:val="24"/>
        </w:rPr>
        <w:t xml:space="preserve">a službu všeobecného hospodárskeho záujmu (SVHZ) týmto </w:t>
      </w:r>
      <w:r w:rsidRPr="00B34E8A">
        <w:rPr>
          <w:sz w:val="24"/>
          <w:szCs w:val="24"/>
          <w:u w:val="single"/>
        </w:rPr>
        <w:t xml:space="preserve">určuje služba súvisiaca s poskytovaním </w:t>
      </w:r>
      <w:r>
        <w:rPr>
          <w:sz w:val="24"/>
          <w:u w:val="single"/>
        </w:rPr>
        <w:t>ambulantnej</w:t>
      </w:r>
      <w:r w:rsidRPr="00B34E8A">
        <w:rPr>
          <w:sz w:val="24"/>
          <w:u w:val="single"/>
        </w:rPr>
        <w:t xml:space="preserve"> zdravotnej starostlivosti</w:t>
      </w:r>
      <w:r w:rsidRPr="003547CD">
        <w:rPr>
          <w:sz w:val="24"/>
        </w:rPr>
        <w:t xml:space="preserve"> </w:t>
      </w:r>
      <w:r>
        <w:rPr>
          <w:sz w:val="24"/>
        </w:rPr>
        <w:t>regulovanej</w:t>
      </w:r>
      <w:r w:rsidRPr="003547CD">
        <w:rPr>
          <w:sz w:val="24"/>
        </w:rPr>
        <w:t xml:space="preserve"> ustanovením §</w:t>
      </w:r>
      <w:r>
        <w:rPr>
          <w:sz w:val="24"/>
        </w:rPr>
        <w:t> </w:t>
      </w:r>
      <w:r w:rsidRPr="003547CD">
        <w:rPr>
          <w:sz w:val="24"/>
        </w:rPr>
        <w:t xml:space="preserve">4 ods. 1 a definovanú v § 7 ods. 1 písm. </w:t>
      </w:r>
      <w:r>
        <w:rPr>
          <w:sz w:val="24"/>
        </w:rPr>
        <w:t>a</w:t>
      </w:r>
      <w:r w:rsidRPr="003547CD">
        <w:rPr>
          <w:sz w:val="24"/>
        </w:rPr>
        <w:t>)</w:t>
      </w:r>
      <w:r>
        <w:rPr>
          <w:sz w:val="24"/>
        </w:rPr>
        <w:t xml:space="preserve"> bod 3.</w:t>
      </w:r>
      <w:r w:rsidRPr="003547CD">
        <w:rPr>
          <w:sz w:val="24"/>
        </w:rPr>
        <w:t xml:space="preserve"> a § </w:t>
      </w:r>
      <w:r>
        <w:rPr>
          <w:sz w:val="24"/>
        </w:rPr>
        <w:t>8</w:t>
      </w:r>
      <w:r w:rsidRPr="003547CD">
        <w:rPr>
          <w:sz w:val="24"/>
        </w:rPr>
        <w:t xml:space="preserve"> zákona </w:t>
      </w:r>
      <w:r>
        <w:rPr>
          <w:sz w:val="24"/>
        </w:rPr>
        <w:t>č. 576/2004 Z. z. o zdravotnej starostlivosti, službách súvisiacich s poskytovaním zdravotnej starostlivosti a o zmene a doplnení niektorých zákonov v znení neskorších predpisov</w:t>
      </w:r>
      <w:r w:rsidRPr="003547CD">
        <w:rPr>
          <w:sz w:val="24"/>
        </w:rPr>
        <w:t xml:space="preserve"> a </w:t>
      </w:r>
      <w:r w:rsidRPr="00B34E8A">
        <w:rPr>
          <w:sz w:val="24"/>
          <w:u w:val="single"/>
        </w:rPr>
        <w:t>prevádzkovan</w:t>
      </w:r>
      <w:r>
        <w:rPr>
          <w:sz w:val="24"/>
          <w:u w:val="single"/>
        </w:rPr>
        <w:t>ej</w:t>
      </w:r>
      <w:r w:rsidRPr="00B34E8A">
        <w:rPr>
          <w:sz w:val="24"/>
          <w:u w:val="single"/>
        </w:rPr>
        <w:t xml:space="preserve"> v zariadeniach </w:t>
      </w:r>
      <w:r>
        <w:rPr>
          <w:sz w:val="24"/>
          <w:u w:val="single"/>
        </w:rPr>
        <w:t>ambulantnej</w:t>
      </w:r>
      <w:r w:rsidRPr="00B34E8A">
        <w:rPr>
          <w:sz w:val="24"/>
          <w:u w:val="single"/>
        </w:rPr>
        <w:t xml:space="preserve"> zdravotnej starostlivosti </w:t>
      </w:r>
      <w:r w:rsidRPr="00D41A98">
        <w:rPr>
          <w:sz w:val="24"/>
        </w:rPr>
        <w:t>podľa zákona č. 578/2004 Z. z.</w:t>
      </w:r>
      <w:r>
        <w:rPr>
          <w:sz w:val="24"/>
        </w:rPr>
        <w:t xml:space="preserve"> o poskytovateľoch zdravotnej starostlivosti, zdravotníckych pracovníkoch, stavovských organizáciách v zdravotníctve v znení neskorších predpisov</w:t>
      </w:r>
      <w:r w:rsidRPr="00573505">
        <w:rPr>
          <w:sz w:val="24"/>
        </w:rPr>
        <w:t xml:space="preserve"> (ďalej len "zákon o poskytovateľoch zdravotnej starostlivosti“)</w:t>
      </w:r>
      <w:r>
        <w:rPr>
          <w:sz w:val="24"/>
        </w:rPr>
        <w:t xml:space="preserve">, konkrétne podľa </w:t>
      </w:r>
      <w:r w:rsidRPr="00D41A98">
        <w:rPr>
          <w:sz w:val="24"/>
        </w:rPr>
        <w:t>§ 7 ods. 3 písm. a) bod 2 špecializovaná</w:t>
      </w:r>
      <w:r>
        <w:rPr>
          <w:sz w:val="24"/>
        </w:rPr>
        <w:t xml:space="preserve"> ambulancia</w:t>
      </w:r>
      <w:r w:rsidRPr="00D41A98">
        <w:rPr>
          <w:sz w:val="24"/>
        </w:rPr>
        <w:t xml:space="preserve">, špecializované ambulancie </w:t>
      </w:r>
      <w:r>
        <w:rPr>
          <w:sz w:val="24"/>
        </w:rPr>
        <w:t>podľa</w:t>
      </w:r>
      <w:r w:rsidRPr="00D41A98">
        <w:rPr>
          <w:sz w:val="24"/>
        </w:rPr>
        <w:t xml:space="preserve"> príloh</w:t>
      </w:r>
      <w:r>
        <w:rPr>
          <w:sz w:val="24"/>
        </w:rPr>
        <w:t>y</w:t>
      </w:r>
      <w:r w:rsidRPr="00D41A98">
        <w:rPr>
          <w:sz w:val="24"/>
        </w:rPr>
        <w:t xml:space="preserve"> č. 1a</w:t>
      </w:r>
      <w:r>
        <w:rPr>
          <w:sz w:val="24"/>
        </w:rPr>
        <w:t xml:space="preserve"> zákona o poskytovateľoch zdravotnej starostlivosti</w:t>
      </w:r>
      <w:r w:rsidRPr="00D41A98">
        <w:rPr>
          <w:sz w:val="24"/>
        </w:rPr>
        <w:t xml:space="preserve"> (špecializácie podľa prílohy 1a: 36. psychiatrická ambulancia, 37. ambulancia detskej psychiatrie, 38. ambulancia klinickej psychológie, 40.</w:t>
      </w:r>
      <w:r>
        <w:rPr>
          <w:sz w:val="24"/>
        </w:rPr>
        <w:t> </w:t>
      </w:r>
      <w:r w:rsidRPr="00455307">
        <w:rPr>
          <w:sz w:val="24"/>
        </w:rPr>
        <w:t xml:space="preserve">ambulancia liečebnej pedagogiky), </w:t>
      </w:r>
      <w:r>
        <w:rPr>
          <w:sz w:val="24"/>
        </w:rPr>
        <w:t xml:space="preserve">§ 7 ods. 3 </w:t>
      </w:r>
      <w:r w:rsidRPr="00455307">
        <w:rPr>
          <w:sz w:val="24"/>
        </w:rPr>
        <w:t xml:space="preserve">písm. b) zariadenie na poskytovanie </w:t>
      </w:r>
      <w:r w:rsidRPr="00455307">
        <w:rPr>
          <w:sz w:val="24"/>
        </w:rPr>
        <w:lastRenderedPageBreak/>
        <w:t xml:space="preserve">jednodňovej starostlivosti, </w:t>
      </w:r>
      <w:r>
        <w:rPr>
          <w:sz w:val="24"/>
        </w:rPr>
        <w:t xml:space="preserve">§ 7 ods. 3 </w:t>
      </w:r>
      <w:r w:rsidRPr="00455307">
        <w:rPr>
          <w:sz w:val="24"/>
        </w:rPr>
        <w:t xml:space="preserve">písm. c) stacionár a </w:t>
      </w:r>
      <w:r>
        <w:rPr>
          <w:sz w:val="24"/>
        </w:rPr>
        <w:t xml:space="preserve">§ 7 ods. 3 </w:t>
      </w:r>
      <w:r w:rsidRPr="00455307">
        <w:rPr>
          <w:sz w:val="24"/>
        </w:rPr>
        <w:t>písm. f) zariadenie spoločných vyšetrovacích a liečebných zložiek (SVALZ)</w:t>
      </w:r>
      <w:r w:rsidRPr="00F00646">
        <w:rPr>
          <w:sz w:val="24"/>
          <w:szCs w:val="24"/>
        </w:rPr>
        <w:t>.</w:t>
      </w:r>
    </w:p>
    <w:p w:rsidR="002A2B45" w:rsidRDefault="002A2B45" w:rsidP="002A2B45">
      <w:pPr>
        <w:pStyle w:val="Zkladntext"/>
        <w:spacing w:before="121"/>
        <w:ind w:left="567" w:right="725"/>
        <w:jc w:val="both"/>
      </w:pPr>
      <w:r>
        <w:t>V zmysle článku 5 rozhodnutia Komisie č. 2012/21/EÚ nesmie byť výška poskytnutej náhrady prijímateľovi pomoci</w:t>
      </w:r>
      <w:r>
        <w:rPr>
          <w:rStyle w:val="Odkaznapoznmkupodiarou"/>
        </w:rPr>
        <w:footnoteReference w:id="1"/>
      </w:r>
      <w:r>
        <w:t xml:space="preserve"> vyššia, ako je nevyhnutné na pokrytie nákladov vzniknutých pri plnení záväzkov služby vo verejnom záujme, so zohľadnením relevantných príjmov a primeraného zisku z akéhokoľvek vlastného kapitálu nevyhnutného na plnenie týchto</w:t>
      </w:r>
      <w:r>
        <w:rPr>
          <w:spacing w:val="-2"/>
        </w:rPr>
        <w:t xml:space="preserve"> </w:t>
      </w:r>
      <w:r>
        <w:t>záväzkov.</w:t>
      </w:r>
    </w:p>
    <w:p w:rsidR="002A2B45" w:rsidRDefault="002A2B45" w:rsidP="002A2B45">
      <w:pPr>
        <w:pStyle w:val="Zkladntext"/>
        <w:spacing w:before="120" w:after="120"/>
        <w:ind w:left="567" w:right="725"/>
        <w:jc w:val="both"/>
      </w:pPr>
      <w:r>
        <w:t>Ministerstvo zdravotníctva SR, ako poskytovateľ náhrady (ďalej len „poskytovateľ“) musí zabezpečiť, aby neboli udeľované vyššie náhrady, ako je stanovené v článku 5 rozhodnutia Komisie č. 2012/21/EÚ.</w:t>
      </w:r>
    </w:p>
    <w:p w:rsidR="002A2B45" w:rsidRPr="001727B5" w:rsidRDefault="002A2B45" w:rsidP="002A2B45">
      <w:pPr>
        <w:spacing w:before="120" w:after="120"/>
        <w:ind w:left="567" w:right="725"/>
        <w:jc w:val="both"/>
        <w:rPr>
          <w:sz w:val="24"/>
          <w:szCs w:val="24"/>
          <w:vertAlign w:val="superscript"/>
        </w:rPr>
      </w:pPr>
      <w:r w:rsidRPr="00DB5D16">
        <w:rPr>
          <w:sz w:val="24"/>
        </w:rPr>
        <w:t>Posledný vývoj práva Európskej únie (EÚ) v oblasti štátnej pomoci</w:t>
      </w:r>
      <w:r>
        <w:rPr>
          <w:rStyle w:val="Odkaznapoznmkupodiarou"/>
          <w:sz w:val="24"/>
        </w:rPr>
        <w:footnoteReference w:id="2"/>
      </w:r>
      <w:r w:rsidRPr="00DB5D16">
        <w:rPr>
          <w:sz w:val="24"/>
        </w:rPr>
        <w:t xml:space="preserve"> nasvedčuje, že EÚ považuje sociálne a zdravotné služby za služby všeobecného hospodárskeho záujmu a upravuje ich financovanie v osobitnom režime, ktorý zabezpečí ich zlučiteľnosť so spoločným trhom. To, či poskytovanie určitej </w:t>
      </w:r>
      <w:r w:rsidRPr="00B53DC3">
        <w:rPr>
          <w:sz w:val="24"/>
          <w:szCs w:val="24"/>
        </w:rPr>
        <w:t>sociálnej</w:t>
      </w:r>
      <w:r w:rsidRPr="00B53DC3">
        <w:rPr>
          <w:sz w:val="24"/>
        </w:rPr>
        <w:t xml:space="preserve"> služby</w:t>
      </w:r>
      <w:r>
        <w:rPr>
          <w:sz w:val="24"/>
        </w:rPr>
        <w:t>,</w:t>
      </w:r>
      <w:r w:rsidRPr="00DB5D16">
        <w:rPr>
          <w:sz w:val="24"/>
        </w:rPr>
        <w:t xml:space="preserve"> </w:t>
      </w:r>
      <w:r>
        <w:rPr>
          <w:sz w:val="24"/>
        </w:rPr>
        <w:t xml:space="preserve">resp. zdravotnej starostlivosti </w:t>
      </w:r>
      <w:r w:rsidRPr="00DB5D16">
        <w:rPr>
          <w:sz w:val="24"/>
        </w:rPr>
        <w:t>predstavuje ekonomickú</w:t>
      </w:r>
      <w:r>
        <w:rPr>
          <w:sz w:val="24"/>
        </w:rPr>
        <w:t xml:space="preserve"> (hospodársku)</w:t>
      </w:r>
      <w:r w:rsidRPr="00DB5D16">
        <w:rPr>
          <w:sz w:val="24"/>
        </w:rPr>
        <w:t xml:space="preserve"> činnosť, </w:t>
      </w:r>
      <w:r>
        <w:rPr>
          <w:sz w:val="24"/>
        </w:rPr>
        <w:t>j</w:t>
      </w:r>
      <w:r w:rsidRPr="00DB5D16">
        <w:rPr>
          <w:sz w:val="24"/>
        </w:rPr>
        <w:t xml:space="preserve">e </w:t>
      </w:r>
      <w:r>
        <w:rPr>
          <w:sz w:val="24"/>
        </w:rPr>
        <w:t>potrebné</w:t>
      </w:r>
      <w:r w:rsidRPr="00DB5D16">
        <w:rPr>
          <w:sz w:val="24"/>
        </w:rPr>
        <w:t xml:space="preserve"> </w:t>
      </w:r>
      <w:r>
        <w:rPr>
          <w:sz w:val="24"/>
        </w:rPr>
        <w:t>posúdiť v závislosti od spôsobu jej organizácie v rámci daného členského štátu</w:t>
      </w:r>
      <w:r w:rsidRPr="00DB5D16">
        <w:rPr>
          <w:sz w:val="24"/>
        </w:rPr>
        <w:t xml:space="preserve">. „Aby sa určitá služba mohla považovať za </w:t>
      </w:r>
      <w:r>
        <w:rPr>
          <w:sz w:val="24"/>
        </w:rPr>
        <w:t xml:space="preserve">hospodársku / </w:t>
      </w:r>
      <w:r w:rsidRPr="00DB5D16">
        <w:rPr>
          <w:sz w:val="24"/>
        </w:rPr>
        <w:t>ekonomickú činnosť, na ktorú sa vzťahujú ustanovenia o</w:t>
      </w:r>
      <w:r>
        <w:rPr>
          <w:sz w:val="24"/>
        </w:rPr>
        <w:t> </w:t>
      </w:r>
      <w:r w:rsidRPr="00DB5D16">
        <w:rPr>
          <w:sz w:val="24"/>
        </w:rPr>
        <w:t xml:space="preserve">vnútornom trhu (voľný pohyb služieb a sloboda usadiť sa), je základným predpokladom to, že je poskytovaná za odplatu. Za službu však nemusia nevyhnutne platiť príjemcovia </w:t>
      </w:r>
      <w:r w:rsidRPr="001727B5">
        <w:rPr>
          <w:sz w:val="24"/>
          <w:szCs w:val="24"/>
        </w:rPr>
        <w:t xml:space="preserve">služieb. </w:t>
      </w:r>
      <w:r w:rsidRPr="00055520">
        <w:rPr>
          <w:sz w:val="24"/>
          <w:szCs w:val="24"/>
        </w:rPr>
        <w:t xml:space="preserve">Ak poskytovatelia zdravotnej starostlivosti </w:t>
      </w:r>
      <w:r w:rsidRPr="00055520">
        <w:rPr>
          <w:sz w:val="24"/>
          <w:szCs w:val="24"/>
          <w:u w:val="single"/>
        </w:rPr>
        <w:t>poskytujú zdravotnú starostlivosť</w:t>
      </w:r>
      <w:r w:rsidRPr="00055520">
        <w:rPr>
          <w:sz w:val="24"/>
          <w:szCs w:val="24"/>
        </w:rPr>
        <w:t xml:space="preserve"> za odplatu, či už zaplatenú priamo zo strany pacientov alebo z iných zdrojov (platby zo zdravotných poisťovní), poskytovanie tejto zdravotnej starostlivosti je možné považovať za </w:t>
      </w:r>
      <w:r w:rsidRPr="00055520">
        <w:rPr>
          <w:sz w:val="24"/>
          <w:szCs w:val="24"/>
          <w:u w:val="single"/>
        </w:rPr>
        <w:t>hospodársku činnosť</w:t>
      </w:r>
      <w:r w:rsidRPr="00055520">
        <w:rPr>
          <w:sz w:val="24"/>
          <w:szCs w:val="24"/>
        </w:rPr>
        <w:t>.</w:t>
      </w:r>
      <w:r w:rsidRPr="001727B5">
        <w:rPr>
          <w:sz w:val="24"/>
          <w:szCs w:val="24"/>
        </w:rPr>
        <w:t>“.</w:t>
      </w:r>
    </w:p>
    <w:p w:rsidR="002A2B45" w:rsidRPr="00F24AD3" w:rsidRDefault="002A2B45" w:rsidP="002A2B45">
      <w:pPr>
        <w:spacing w:before="120" w:after="120"/>
        <w:ind w:left="567" w:right="725"/>
        <w:jc w:val="both"/>
        <w:rPr>
          <w:sz w:val="24"/>
          <w:szCs w:val="24"/>
        </w:rPr>
      </w:pPr>
      <w:r w:rsidRPr="00F24AD3">
        <w:rPr>
          <w:sz w:val="24"/>
          <w:szCs w:val="24"/>
        </w:rPr>
        <w:t xml:space="preserve">Rozhodnutie </w:t>
      </w:r>
      <w:r>
        <w:rPr>
          <w:sz w:val="24"/>
          <w:szCs w:val="24"/>
        </w:rPr>
        <w:t>Komisie č. 2012/21/EÚ</w:t>
      </w:r>
      <w:r w:rsidRPr="00F24AD3">
        <w:rPr>
          <w:sz w:val="24"/>
          <w:szCs w:val="24"/>
        </w:rPr>
        <w:t xml:space="preserve"> sa okrem iného uplatňuje na štátnu pomoc vo forme náhrady za služby vo verejnom záujme udelenej podnikom v súvislosti so službami všeobecného hospodárskeho záujmu </w:t>
      </w:r>
      <w:r>
        <w:rPr>
          <w:sz w:val="24"/>
          <w:szCs w:val="24"/>
        </w:rPr>
        <w:t xml:space="preserve">(ďalej aj „SVHZ“) </w:t>
      </w:r>
      <w:r w:rsidRPr="00F24AD3">
        <w:rPr>
          <w:sz w:val="24"/>
          <w:szCs w:val="24"/>
        </w:rPr>
        <w:t>v</w:t>
      </w:r>
      <w:r>
        <w:rPr>
          <w:sz w:val="24"/>
          <w:szCs w:val="24"/>
        </w:rPr>
        <w:t> </w:t>
      </w:r>
      <w:r w:rsidRPr="00F24AD3">
        <w:rPr>
          <w:sz w:val="24"/>
          <w:szCs w:val="24"/>
        </w:rPr>
        <w:t xml:space="preserve">zmysle čl. 106 ods. 2 </w:t>
      </w:r>
      <w:r>
        <w:rPr>
          <w:sz w:val="24"/>
          <w:szCs w:val="24"/>
        </w:rPr>
        <w:t xml:space="preserve">Zmluvy o fungovaní EÚ </w:t>
      </w:r>
      <w:r w:rsidRPr="00F24AD3">
        <w:rPr>
          <w:sz w:val="24"/>
          <w:szCs w:val="24"/>
        </w:rPr>
        <w:t>ak:</w:t>
      </w:r>
    </w:p>
    <w:p w:rsidR="002A2B45" w:rsidRDefault="002A2B45" w:rsidP="002A2B45">
      <w:pPr>
        <w:pStyle w:val="Odsekzoznamu"/>
        <w:widowControl/>
        <w:numPr>
          <w:ilvl w:val="0"/>
          <w:numId w:val="2"/>
        </w:numPr>
        <w:autoSpaceDE/>
        <w:autoSpaceDN/>
        <w:spacing w:before="120" w:after="120" w:line="259" w:lineRule="auto"/>
        <w:ind w:left="993" w:right="725" w:hanging="426"/>
        <w:rPr>
          <w:sz w:val="24"/>
          <w:szCs w:val="24"/>
        </w:rPr>
      </w:pPr>
      <w:r>
        <w:rPr>
          <w:sz w:val="24"/>
          <w:szCs w:val="24"/>
        </w:rPr>
        <w:t>ide o náhradu za poskytovanie služieb všeobecného hospodárskeho záujmu, ktoré spĺňajú základné sociálne potreby, pokiaľ ide o zdravotnú a dlhodobú starostlivosť, starostlivosť o dieťa, prístup a reintegráciu na trh práce, sociálne bývanie a starostlivosť o zraniteľné skupiny a sociálne začlenenie týchto skupín</w:t>
      </w:r>
      <w:r>
        <w:rPr>
          <w:rStyle w:val="Odkaznapoznmkupodiarou"/>
          <w:sz w:val="24"/>
          <w:szCs w:val="24"/>
        </w:rPr>
        <w:footnoteReference w:id="3"/>
      </w:r>
      <w:r>
        <w:rPr>
          <w:sz w:val="24"/>
          <w:szCs w:val="24"/>
        </w:rPr>
        <w:t>.</w:t>
      </w:r>
    </w:p>
    <w:p w:rsidR="002A2B45" w:rsidRDefault="002A2B45" w:rsidP="002A2B45">
      <w:pPr>
        <w:pStyle w:val="Odsekzoznamu"/>
        <w:widowControl/>
        <w:numPr>
          <w:ilvl w:val="0"/>
          <w:numId w:val="2"/>
        </w:numPr>
        <w:autoSpaceDE/>
        <w:autoSpaceDN/>
        <w:spacing w:before="120" w:after="120" w:line="259" w:lineRule="auto"/>
        <w:ind w:left="993" w:right="725" w:hanging="426"/>
        <w:rPr>
          <w:sz w:val="24"/>
          <w:szCs w:val="24"/>
        </w:rPr>
      </w:pPr>
      <w:r w:rsidRPr="00F24AD3">
        <w:rPr>
          <w:sz w:val="24"/>
          <w:szCs w:val="24"/>
        </w:rPr>
        <w:t xml:space="preserve">prijímateľ </w:t>
      </w:r>
      <w:r>
        <w:rPr>
          <w:sz w:val="24"/>
          <w:szCs w:val="24"/>
        </w:rPr>
        <w:t xml:space="preserve">pomoci </w:t>
      </w:r>
      <w:r w:rsidRPr="00F24AD3">
        <w:rPr>
          <w:sz w:val="24"/>
          <w:szCs w:val="24"/>
        </w:rPr>
        <w:t>je poverený poskytovaním služieb všeobecného hospodárskeho záujmu a obdobie trvania poverenia nepresiahne 10 rokov</w:t>
      </w:r>
      <w:bookmarkStart w:id="2" w:name="_Hlk105356041"/>
      <w:r>
        <w:rPr>
          <w:sz w:val="24"/>
          <w:szCs w:val="24"/>
        </w:rPr>
        <w:t xml:space="preserve">, </w:t>
      </w:r>
      <w:r w:rsidRPr="00800415">
        <w:rPr>
          <w:sz w:val="24"/>
          <w:szCs w:val="24"/>
        </w:rPr>
        <w:t>okrem prípadov ak sa od poskytovateľa služby vyžaduje významná investícia, ktorú treba počas dlhšieho obdobia amortizovať v</w:t>
      </w:r>
      <w:r>
        <w:rPr>
          <w:sz w:val="24"/>
          <w:szCs w:val="24"/>
        </w:rPr>
        <w:t> </w:t>
      </w:r>
      <w:r w:rsidRPr="00800415">
        <w:rPr>
          <w:sz w:val="24"/>
          <w:szCs w:val="24"/>
        </w:rPr>
        <w:t>súlade so všeobecne uznávanými účtovými zásadami</w:t>
      </w:r>
      <w:bookmarkEnd w:id="2"/>
      <w:r w:rsidRPr="00F24AD3">
        <w:rPr>
          <w:rStyle w:val="Odkaznapoznmkupodiarou"/>
          <w:sz w:val="24"/>
          <w:szCs w:val="24"/>
        </w:rPr>
        <w:footnoteReference w:id="4"/>
      </w:r>
      <w:r w:rsidRPr="00F24AD3">
        <w:rPr>
          <w:sz w:val="24"/>
          <w:szCs w:val="24"/>
        </w:rPr>
        <w:t>.</w:t>
      </w:r>
    </w:p>
    <w:p w:rsidR="002A2B45" w:rsidRPr="00F24AD3" w:rsidRDefault="002A2B45" w:rsidP="002A2B45">
      <w:pPr>
        <w:pStyle w:val="Odsekzoznamu"/>
        <w:widowControl/>
        <w:autoSpaceDE/>
        <w:autoSpaceDN/>
        <w:spacing w:before="120" w:after="120" w:line="259" w:lineRule="auto"/>
        <w:ind w:left="993" w:right="725" w:firstLine="0"/>
        <w:rPr>
          <w:sz w:val="24"/>
          <w:szCs w:val="24"/>
        </w:rPr>
      </w:pPr>
    </w:p>
    <w:p w:rsidR="002A2B45" w:rsidRPr="004243B5" w:rsidRDefault="002A2B45" w:rsidP="002A2B45">
      <w:pPr>
        <w:pStyle w:val="Odsekzoznamu"/>
        <w:widowControl/>
        <w:numPr>
          <w:ilvl w:val="0"/>
          <w:numId w:val="1"/>
        </w:numPr>
        <w:autoSpaceDE/>
        <w:autoSpaceDN/>
        <w:spacing w:before="480" w:after="240" w:line="259" w:lineRule="auto"/>
        <w:ind w:left="992" w:hanging="425"/>
        <w:contextualSpacing/>
        <w:jc w:val="left"/>
        <w:rPr>
          <w:rFonts w:eastAsiaTheme="minorHAnsi"/>
          <w:b/>
          <w:bCs/>
          <w:sz w:val="24"/>
          <w:szCs w:val="24"/>
          <w:u w:val="single"/>
        </w:rPr>
      </w:pPr>
      <w:r w:rsidRPr="004243B5">
        <w:rPr>
          <w:rFonts w:eastAsiaTheme="minorHAnsi"/>
          <w:b/>
          <w:bCs/>
          <w:sz w:val="24"/>
          <w:szCs w:val="24"/>
          <w:u w:val="single"/>
        </w:rPr>
        <w:t>METODIKA PRE URČENIE VÝŠKY NÁHRADY</w:t>
      </w:r>
    </w:p>
    <w:p w:rsidR="002A2B45" w:rsidRPr="009136FB" w:rsidRDefault="002A2B45" w:rsidP="002A2B45">
      <w:pPr>
        <w:widowControl/>
        <w:autoSpaceDE/>
        <w:autoSpaceDN/>
        <w:spacing w:after="160" w:line="259" w:lineRule="auto"/>
        <w:ind w:left="567" w:right="725"/>
        <w:jc w:val="both"/>
        <w:rPr>
          <w:rFonts w:eastAsia="Calibri"/>
          <w:sz w:val="24"/>
          <w:szCs w:val="24"/>
        </w:rPr>
      </w:pPr>
      <w:r w:rsidRPr="009136FB">
        <w:rPr>
          <w:rFonts w:eastAsia="Calibri"/>
          <w:sz w:val="24"/>
          <w:szCs w:val="24"/>
        </w:rPr>
        <w:t xml:space="preserve">Poskytovateľ poskytne prijímateľovi </w:t>
      </w:r>
      <w:r>
        <w:rPr>
          <w:rFonts w:eastAsia="Calibri"/>
          <w:sz w:val="24"/>
          <w:szCs w:val="24"/>
        </w:rPr>
        <w:t xml:space="preserve">pomoci podľa schémy </w:t>
      </w:r>
      <w:r w:rsidRPr="009136FB">
        <w:rPr>
          <w:rFonts w:eastAsia="Calibri"/>
          <w:sz w:val="24"/>
          <w:szCs w:val="24"/>
        </w:rPr>
        <w:t xml:space="preserve">prostriedky </w:t>
      </w:r>
      <w:r>
        <w:rPr>
          <w:rFonts w:eastAsia="Calibri"/>
          <w:sz w:val="24"/>
          <w:szCs w:val="24"/>
        </w:rPr>
        <w:t xml:space="preserve">mechanizmu na podporu obnovy a odolnosti (ďalej aj „prostriedky mechanizmu“) </w:t>
      </w:r>
      <w:r w:rsidRPr="009136FB">
        <w:rPr>
          <w:rFonts w:eastAsia="Calibri"/>
          <w:sz w:val="24"/>
          <w:szCs w:val="24"/>
        </w:rPr>
        <w:t xml:space="preserve">na </w:t>
      </w:r>
      <w:r>
        <w:rPr>
          <w:rFonts w:eastAsia="Calibri"/>
          <w:sz w:val="24"/>
          <w:szCs w:val="24"/>
        </w:rPr>
        <w:t xml:space="preserve">oprávnené </w:t>
      </w:r>
      <w:r w:rsidRPr="009136FB">
        <w:rPr>
          <w:rFonts w:eastAsia="Calibri"/>
          <w:sz w:val="24"/>
          <w:szCs w:val="24"/>
        </w:rPr>
        <w:t xml:space="preserve">výdavky na realizáciu investície nevyhnutnej pre poskytovanie SVHZ. </w:t>
      </w:r>
    </w:p>
    <w:p w:rsidR="002A2B45" w:rsidRPr="009136FB" w:rsidRDefault="002A2B45" w:rsidP="002A2B45">
      <w:pPr>
        <w:widowControl/>
        <w:autoSpaceDE/>
        <w:autoSpaceDN/>
        <w:spacing w:after="160" w:line="259" w:lineRule="auto"/>
        <w:ind w:left="567" w:right="725"/>
        <w:jc w:val="both"/>
        <w:rPr>
          <w:rFonts w:eastAsia="Calibri"/>
          <w:sz w:val="24"/>
          <w:szCs w:val="24"/>
        </w:rPr>
      </w:pPr>
      <w:r w:rsidRPr="009136FB">
        <w:rPr>
          <w:rFonts w:eastAsia="Calibri"/>
          <w:sz w:val="24"/>
          <w:szCs w:val="24"/>
        </w:rPr>
        <w:t xml:space="preserve">Primeraná náhrada nesmie presiahnuť </w:t>
      </w:r>
      <w:r>
        <w:rPr>
          <w:rFonts w:eastAsia="Calibri"/>
          <w:sz w:val="24"/>
          <w:szCs w:val="24"/>
        </w:rPr>
        <w:t xml:space="preserve">sumu potrebnú na pokrytie </w:t>
      </w:r>
      <w:r w:rsidRPr="009136FB">
        <w:rPr>
          <w:rFonts w:eastAsia="Calibri"/>
          <w:sz w:val="24"/>
          <w:szCs w:val="24"/>
        </w:rPr>
        <w:t>čist</w:t>
      </w:r>
      <w:r>
        <w:rPr>
          <w:rFonts w:eastAsia="Calibri"/>
          <w:sz w:val="24"/>
          <w:szCs w:val="24"/>
        </w:rPr>
        <w:t>ých</w:t>
      </w:r>
      <w:r w:rsidRPr="009136FB">
        <w:rPr>
          <w:rFonts w:eastAsia="Calibri"/>
          <w:sz w:val="24"/>
          <w:szCs w:val="24"/>
        </w:rPr>
        <w:t xml:space="preserve"> náklad</w:t>
      </w:r>
      <w:r>
        <w:rPr>
          <w:rFonts w:eastAsia="Calibri"/>
          <w:sz w:val="24"/>
          <w:szCs w:val="24"/>
        </w:rPr>
        <w:t>ov</w:t>
      </w:r>
      <w:r w:rsidRPr="009136FB">
        <w:rPr>
          <w:rFonts w:eastAsia="Calibri"/>
          <w:sz w:val="24"/>
          <w:szCs w:val="24"/>
        </w:rPr>
        <w:t xml:space="preserve"> na SVHZ</w:t>
      </w:r>
      <w:r>
        <w:rPr>
          <w:rFonts w:eastAsia="Calibri"/>
          <w:sz w:val="24"/>
          <w:szCs w:val="24"/>
        </w:rPr>
        <w:t xml:space="preserve"> podľa bodu 1 tejto metodiky</w:t>
      </w:r>
      <w:r w:rsidRPr="009136FB">
        <w:rPr>
          <w:rFonts w:eastAsia="Calibri"/>
          <w:sz w:val="24"/>
          <w:szCs w:val="24"/>
        </w:rPr>
        <w:t xml:space="preserve">, </w:t>
      </w:r>
      <w:r>
        <w:rPr>
          <w:rFonts w:eastAsia="Calibri"/>
          <w:sz w:val="24"/>
          <w:szCs w:val="24"/>
        </w:rPr>
        <w:t xml:space="preserve">ktoré sú </w:t>
      </w:r>
      <w:r w:rsidRPr="009136FB">
        <w:rPr>
          <w:rFonts w:eastAsia="Calibri"/>
          <w:sz w:val="24"/>
          <w:szCs w:val="24"/>
        </w:rPr>
        <w:t xml:space="preserve">potrebné na poskytovanie </w:t>
      </w:r>
      <w:r>
        <w:rPr>
          <w:rFonts w:eastAsia="Calibri"/>
          <w:sz w:val="24"/>
          <w:szCs w:val="24"/>
        </w:rPr>
        <w:t xml:space="preserve">tejto SVHZ, preukázateľne s ňou súvisia </w:t>
      </w:r>
      <w:r w:rsidRPr="009136FB">
        <w:rPr>
          <w:rFonts w:eastAsia="Calibri"/>
          <w:sz w:val="24"/>
          <w:szCs w:val="24"/>
        </w:rPr>
        <w:t xml:space="preserve">plus primeraný zisk a ich výška musí byť vypočítaná v súlade s nižšie uvedenou metodikou </w:t>
      </w:r>
      <w:r w:rsidRPr="009136FB">
        <w:rPr>
          <w:rFonts w:eastAsia="Calibri"/>
          <w:sz w:val="24"/>
          <w:szCs w:val="24"/>
        </w:rPr>
        <w:lastRenderedPageBreak/>
        <w:t>výpočtu.</w:t>
      </w:r>
      <w:r>
        <w:rPr>
          <w:rFonts w:eastAsia="Calibri"/>
          <w:sz w:val="24"/>
          <w:szCs w:val="24"/>
        </w:rPr>
        <w:t xml:space="preserve"> Náklady, ktoré vzniknú počas poskytovania SVHZ, musia byť uznané za oprávnené výdavky v súlade s článkom I. schémy.</w:t>
      </w:r>
    </w:p>
    <w:p w:rsidR="002A2B45" w:rsidRPr="009136FB" w:rsidRDefault="002A2B45" w:rsidP="002A2B45">
      <w:pPr>
        <w:widowControl/>
        <w:autoSpaceDE/>
        <w:autoSpaceDN/>
        <w:spacing w:after="160" w:line="259" w:lineRule="auto"/>
        <w:ind w:left="567" w:right="725"/>
        <w:jc w:val="both"/>
        <w:rPr>
          <w:rFonts w:eastAsia="Calibri"/>
          <w:b/>
          <w:bCs/>
          <w:sz w:val="24"/>
          <w:szCs w:val="24"/>
        </w:rPr>
      </w:pPr>
      <w:r w:rsidRPr="009136FB">
        <w:rPr>
          <w:rFonts w:eastAsia="Calibri"/>
          <w:sz w:val="24"/>
          <w:szCs w:val="24"/>
        </w:rPr>
        <w:t xml:space="preserve">Poskytovateľ zodpovedá za udelenie náhrady v súlade s článkom 5 rozhodnutia </w:t>
      </w:r>
      <w:r>
        <w:rPr>
          <w:rFonts w:eastAsia="Calibri"/>
          <w:sz w:val="24"/>
          <w:szCs w:val="24"/>
        </w:rPr>
        <w:t xml:space="preserve">Komisie </w:t>
      </w:r>
      <w:r w:rsidRPr="009136FB">
        <w:rPr>
          <w:rFonts w:eastAsia="Calibri"/>
          <w:sz w:val="24"/>
          <w:szCs w:val="24"/>
        </w:rPr>
        <w:t xml:space="preserve">č. 2012/21/EÚ, podľa ktorého </w:t>
      </w:r>
      <w:r w:rsidRPr="009136FB">
        <w:rPr>
          <w:rFonts w:eastAsia="Calibri"/>
          <w:b/>
          <w:bCs/>
          <w:sz w:val="24"/>
          <w:szCs w:val="24"/>
        </w:rPr>
        <w:t>výška oprávnenej náhrady za službu všeobecného hospodárskeho záujmu nepresiahne sumu potrebnú na pokrytie čistých nákladov na službu všeobecného hospodárskeho záujmu, ktoré vznikli pri plnení záväzkov služieb vo verejnom záujme a primeraný zisk.</w:t>
      </w:r>
    </w:p>
    <w:p w:rsidR="002A2B45" w:rsidRPr="009136FB" w:rsidRDefault="002A2B45" w:rsidP="002A2B45">
      <w:pPr>
        <w:widowControl/>
        <w:pBdr>
          <w:top w:val="single" w:sz="4" w:space="1" w:color="auto"/>
          <w:left w:val="single" w:sz="4" w:space="4" w:color="auto"/>
          <w:bottom w:val="single" w:sz="4" w:space="1" w:color="auto"/>
          <w:right w:val="single" w:sz="4" w:space="4" w:color="auto"/>
        </w:pBdr>
        <w:shd w:val="clear" w:color="auto" w:fill="FFF2CC"/>
        <w:autoSpaceDE/>
        <w:autoSpaceDN/>
        <w:spacing w:after="160" w:line="259" w:lineRule="auto"/>
        <w:ind w:left="567" w:right="725"/>
        <w:jc w:val="center"/>
        <w:rPr>
          <w:rFonts w:eastAsia="Calibri"/>
          <w:sz w:val="24"/>
          <w:szCs w:val="24"/>
        </w:rPr>
      </w:pPr>
      <w:r w:rsidRPr="009136FB">
        <w:rPr>
          <w:rFonts w:eastAsia="Calibri"/>
          <w:b/>
          <w:bCs/>
          <w:sz w:val="24"/>
          <w:szCs w:val="24"/>
        </w:rPr>
        <w:t>Výška oprávnenej náhrady za SVHZ</w:t>
      </w:r>
      <w:r w:rsidRPr="009136FB">
        <w:rPr>
          <w:rFonts w:eastAsia="Calibri"/>
          <w:sz w:val="24"/>
          <w:szCs w:val="24"/>
        </w:rPr>
        <w:t xml:space="preserve"> = Čisté náklady na SVHZ + Primeraný zisk</w:t>
      </w:r>
    </w:p>
    <w:p w:rsidR="002A2B45" w:rsidRPr="009136FB" w:rsidRDefault="002A2B45" w:rsidP="002A2B45">
      <w:pPr>
        <w:widowControl/>
        <w:autoSpaceDE/>
        <w:autoSpaceDN/>
        <w:spacing w:after="160" w:line="259" w:lineRule="auto"/>
        <w:ind w:left="567" w:right="725"/>
        <w:jc w:val="both"/>
        <w:rPr>
          <w:rFonts w:eastAsia="Calibri"/>
          <w:sz w:val="24"/>
          <w:szCs w:val="24"/>
        </w:rPr>
      </w:pPr>
      <w:r w:rsidRPr="009136FB">
        <w:rPr>
          <w:rFonts w:eastAsia="Calibri"/>
          <w:sz w:val="24"/>
          <w:szCs w:val="24"/>
        </w:rPr>
        <w:t>Výška oprávnenej náhrady na SVHZ sa vypočíta podľa vzorca:</w:t>
      </w:r>
    </w:p>
    <w:p w:rsidR="002A2B45" w:rsidRPr="009136FB" w:rsidRDefault="002A2B45" w:rsidP="002A2B45">
      <w:pPr>
        <w:widowControl/>
        <w:pBdr>
          <w:top w:val="single" w:sz="4" w:space="1" w:color="auto"/>
          <w:left w:val="single" w:sz="4" w:space="4" w:color="auto"/>
          <w:bottom w:val="single" w:sz="4" w:space="1" w:color="auto"/>
          <w:right w:val="single" w:sz="4" w:space="4" w:color="auto"/>
        </w:pBdr>
        <w:shd w:val="clear" w:color="auto" w:fill="FFF2CC"/>
        <w:autoSpaceDE/>
        <w:autoSpaceDN/>
        <w:spacing w:after="160" w:line="259" w:lineRule="auto"/>
        <w:ind w:left="567" w:right="725"/>
        <w:jc w:val="center"/>
        <w:rPr>
          <w:rFonts w:eastAsia="Calibri"/>
          <w:sz w:val="24"/>
          <w:szCs w:val="24"/>
        </w:rPr>
      </w:pPr>
      <w:r w:rsidRPr="009136FB">
        <w:rPr>
          <w:rFonts w:eastAsia="Calibri"/>
          <w:b/>
          <w:bCs/>
          <w:sz w:val="24"/>
          <w:szCs w:val="24"/>
        </w:rPr>
        <w:t>Čisté náklady na SVHZ</w:t>
      </w:r>
      <w:r w:rsidRPr="009136FB">
        <w:rPr>
          <w:rFonts w:eastAsia="Calibri"/>
          <w:sz w:val="24"/>
          <w:szCs w:val="24"/>
        </w:rPr>
        <w:t xml:space="preserve"> = Náklady na SVHZ - Príjem za SVHZ</w:t>
      </w:r>
    </w:p>
    <w:p w:rsidR="002A2B45" w:rsidRPr="009136FB" w:rsidRDefault="002A2B45" w:rsidP="002A2B45">
      <w:pPr>
        <w:widowControl/>
        <w:autoSpaceDE/>
        <w:autoSpaceDN/>
        <w:spacing w:after="160" w:line="259" w:lineRule="auto"/>
        <w:ind w:left="567" w:right="725"/>
        <w:jc w:val="both"/>
        <w:rPr>
          <w:rFonts w:eastAsia="Calibri"/>
          <w:sz w:val="24"/>
          <w:szCs w:val="24"/>
        </w:rPr>
      </w:pPr>
      <w:r w:rsidRPr="009136FB">
        <w:rPr>
          <w:rFonts w:eastAsia="Calibri"/>
          <w:sz w:val="24"/>
          <w:szCs w:val="24"/>
        </w:rPr>
        <w:t xml:space="preserve">Náklady na SVHZ = </w:t>
      </w:r>
      <w:r w:rsidRPr="009136FB">
        <w:rPr>
          <w:rFonts w:eastAsia="Calibri"/>
          <w:i/>
          <w:iCs/>
          <w:sz w:val="24"/>
          <w:szCs w:val="24"/>
        </w:rPr>
        <w:t xml:space="preserve">celkové hrubé náklady potrebné na poskytovanie SVHZ počas </w:t>
      </w:r>
      <w:r>
        <w:rPr>
          <w:rFonts w:eastAsia="Calibri"/>
          <w:i/>
          <w:iCs/>
          <w:sz w:val="24"/>
          <w:szCs w:val="24"/>
        </w:rPr>
        <w:t xml:space="preserve">doby </w:t>
      </w:r>
      <w:r w:rsidRPr="009136FB">
        <w:rPr>
          <w:rFonts w:eastAsia="Calibri"/>
          <w:i/>
          <w:iCs/>
          <w:sz w:val="24"/>
          <w:szCs w:val="24"/>
        </w:rPr>
        <w:t>trvania poverenia</w:t>
      </w:r>
      <w:r w:rsidRPr="009136FB">
        <w:rPr>
          <w:rFonts w:eastAsia="Calibri"/>
          <w:i/>
          <w:iCs/>
          <w:sz w:val="24"/>
          <w:szCs w:val="24"/>
          <w:vertAlign w:val="superscript"/>
        </w:rPr>
        <w:footnoteReference w:id="5"/>
      </w:r>
    </w:p>
    <w:p w:rsidR="002A2B45" w:rsidRPr="009136FB" w:rsidRDefault="002A2B45" w:rsidP="002A2B45">
      <w:pPr>
        <w:widowControl/>
        <w:autoSpaceDE/>
        <w:autoSpaceDN/>
        <w:spacing w:after="160" w:line="259" w:lineRule="auto"/>
        <w:ind w:left="567" w:right="725"/>
        <w:jc w:val="both"/>
        <w:rPr>
          <w:rFonts w:eastAsia="Calibri"/>
          <w:sz w:val="24"/>
          <w:szCs w:val="24"/>
        </w:rPr>
      </w:pPr>
      <w:r w:rsidRPr="009136FB">
        <w:rPr>
          <w:rFonts w:eastAsia="Calibri"/>
          <w:sz w:val="24"/>
          <w:szCs w:val="24"/>
        </w:rPr>
        <w:t xml:space="preserve">Príjem za SVHZ = </w:t>
      </w:r>
      <w:r w:rsidRPr="009136FB">
        <w:rPr>
          <w:rFonts w:eastAsia="Calibri"/>
          <w:i/>
          <w:iCs/>
          <w:sz w:val="24"/>
          <w:szCs w:val="24"/>
        </w:rPr>
        <w:t>celý príjem získaný za SVHZ v rámci trvania poverenia</w:t>
      </w:r>
    </w:p>
    <w:p w:rsidR="002A2B45" w:rsidRPr="009136FB" w:rsidRDefault="002A2B45" w:rsidP="002A2B45">
      <w:pPr>
        <w:widowControl/>
        <w:autoSpaceDE/>
        <w:autoSpaceDN/>
        <w:spacing w:after="160" w:line="259" w:lineRule="auto"/>
        <w:ind w:left="567" w:right="725"/>
        <w:jc w:val="both"/>
        <w:rPr>
          <w:rFonts w:eastAsia="Calibri"/>
          <w:sz w:val="24"/>
          <w:szCs w:val="24"/>
        </w:rPr>
      </w:pPr>
      <w:r w:rsidRPr="009136FB">
        <w:rPr>
          <w:rFonts w:eastAsia="Calibri"/>
          <w:sz w:val="24"/>
          <w:szCs w:val="24"/>
        </w:rPr>
        <w:t>Náklady, ktoré sa zohľadňujú, zahŕňajú všetky náklady, ktoré vznikli počas poskytovania služby všeobecného hospodárskeho záujmu,</w:t>
      </w:r>
      <w:r>
        <w:rPr>
          <w:rFonts w:eastAsia="Calibri"/>
          <w:sz w:val="24"/>
          <w:szCs w:val="24"/>
        </w:rPr>
        <w:t xml:space="preserve"> ako je definovaná v bode 1 tejto metodiky,</w:t>
      </w:r>
      <w:r w:rsidRPr="009136FB">
        <w:rPr>
          <w:rFonts w:eastAsia="Calibri"/>
          <w:sz w:val="24"/>
          <w:szCs w:val="24"/>
        </w:rPr>
        <w:t xml:space="preserve"> a to za nasledovných podmienok:</w:t>
      </w:r>
    </w:p>
    <w:p w:rsidR="002A2B45" w:rsidRPr="009136FB" w:rsidDel="00B6047E" w:rsidRDefault="002A2B45" w:rsidP="002A2B45">
      <w:pPr>
        <w:widowControl/>
        <w:pBdr>
          <w:top w:val="single" w:sz="4" w:space="1" w:color="auto"/>
          <w:left w:val="single" w:sz="4" w:space="4" w:color="auto"/>
          <w:bottom w:val="single" w:sz="4" w:space="1" w:color="auto"/>
          <w:right w:val="single" w:sz="4" w:space="4" w:color="auto"/>
        </w:pBdr>
        <w:autoSpaceDE/>
        <w:autoSpaceDN/>
        <w:spacing w:after="160" w:line="259" w:lineRule="auto"/>
        <w:ind w:left="567" w:right="725"/>
        <w:jc w:val="both"/>
        <w:rPr>
          <w:rFonts w:eastAsia="Calibri"/>
          <w:sz w:val="24"/>
          <w:szCs w:val="24"/>
        </w:rPr>
      </w:pPr>
      <w:r w:rsidRPr="009136FB" w:rsidDel="00B6047E">
        <w:rPr>
          <w:rFonts w:eastAsia="Calibri"/>
          <w:sz w:val="24"/>
          <w:szCs w:val="24"/>
        </w:rPr>
        <w:t>1. Ak sú všetky činnosti prijímateľa obmedzené na službu všeobecného hospodárskeho záujmu, výkonom ktorej je poverený v rámci projektu, zohľadnia sa všetky jeho náklady.</w:t>
      </w:r>
    </w:p>
    <w:p w:rsidR="002A2B45" w:rsidRPr="009136FB" w:rsidDel="00B6047E" w:rsidRDefault="002A2B45" w:rsidP="002A2B45">
      <w:pPr>
        <w:widowControl/>
        <w:pBdr>
          <w:top w:val="single" w:sz="4" w:space="1" w:color="auto"/>
          <w:left w:val="single" w:sz="4" w:space="4" w:color="auto"/>
          <w:bottom w:val="single" w:sz="4" w:space="1" w:color="auto"/>
          <w:right w:val="single" w:sz="4" w:space="4" w:color="auto"/>
        </w:pBdr>
        <w:autoSpaceDE/>
        <w:autoSpaceDN/>
        <w:spacing w:after="160" w:line="259" w:lineRule="auto"/>
        <w:ind w:left="567" w:right="725"/>
        <w:jc w:val="both"/>
        <w:rPr>
          <w:rFonts w:eastAsia="Calibri"/>
          <w:sz w:val="24"/>
          <w:szCs w:val="24"/>
        </w:rPr>
      </w:pPr>
      <w:r w:rsidRPr="009136FB" w:rsidDel="00B6047E">
        <w:rPr>
          <w:rFonts w:eastAsia="Calibri"/>
          <w:sz w:val="24"/>
          <w:szCs w:val="24"/>
        </w:rPr>
        <w:t>2. Ak prijímateľ vykonáva aj činnosti, ktoré nespadajú do rozsahu služby všeobecného hospodárskeho záujmu, vykonávaním ktorej je poverený v rámci projektu, zohľadnia sa len náklady súvisiace so službou všeobecného hospodárskeho záujmu.</w:t>
      </w:r>
    </w:p>
    <w:p w:rsidR="002A2B45" w:rsidRPr="009136FB" w:rsidRDefault="002A2B45" w:rsidP="002A2B45">
      <w:pPr>
        <w:widowControl/>
        <w:autoSpaceDE/>
        <w:autoSpaceDN/>
        <w:spacing w:after="120" w:line="259" w:lineRule="auto"/>
        <w:ind w:left="567" w:right="726"/>
        <w:jc w:val="both"/>
        <w:rPr>
          <w:rFonts w:eastAsia="Calibri"/>
          <w:sz w:val="24"/>
          <w:szCs w:val="24"/>
          <w:u w:val="single"/>
        </w:rPr>
      </w:pPr>
      <w:r w:rsidRPr="009136FB">
        <w:rPr>
          <w:rFonts w:eastAsia="Calibri"/>
          <w:sz w:val="24"/>
          <w:szCs w:val="24"/>
        </w:rPr>
        <w:t>Náklady pridelené na službu všeobecného hospodárskeho záujmu pokrývajú len náklady vzniknuté pri poskytovaní služby všeobecného hospodárskeho záujmu do výšky stanovenej v</w:t>
      </w:r>
      <w:r>
        <w:rPr>
          <w:rFonts w:eastAsia="Calibri"/>
          <w:sz w:val="24"/>
          <w:szCs w:val="24"/>
        </w:rPr>
        <w:t> </w:t>
      </w:r>
      <w:r w:rsidRPr="004243B5">
        <w:rPr>
          <w:rFonts w:eastAsia="Calibri"/>
          <w:sz w:val="24"/>
          <w:szCs w:val="24"/>
        </w:rPr>
        <w:t>článku I. a K. schémy</w:t>
      </w:r>
      <w:r w:rsidRPr="009136FB">
        <w:rPr>
          <w:rFonts w:eastAsia="Calibri"/>
          <w:sz w:val="24"/>
          <w:szCs w:val="24"/>
        </w:rPr>
        <w:t xml:space="preserve">, </w:t>
      </w:r>
      <w:r w:rsidRPr="009136FB">
        <w:rPr>
          <w:rFonts w:eastAsia="Calibri"/>
          <w:sz w:val="24"/>
          <w:szCs w:val="24"/>
          <w:u w:val="single"/>
        </w:rPr>
        <w:t>preukázateľne súvisia so službou všeobecného hospodárskeho záujmu.</w:t>
      </w:r>
    </w:p>
    <w:p w:rsidR="002A2B45" w:rsidRPr="009136FB" w:rsidRDefault="002A2B45" w:rsidP="002A2B45">
      <w:pPr>
        <w:widowControl/>
        <w:autoSpaceDE/>
        <w:autoSpaceDN/>
        <w:spacing w:after="120" w:line="259" w:lineRule="auto"/>
        <w:ind w:left="567" w:right="726"/>
        <w:jc w:val="both"/>
        <w:rPr>
          <w:rFonts w:eastAsia="Calibri"/>
          <w:sz w:val="24"/>
          <w:szCs w:val="24"/>
        </w:rPr>
      </w:pPr>
      <w:r w:rsidRPr="009136FB">
        <w:rPr>
          <w:rFonts w:eastAsia="Calibri"/>
          <w:sz w:val="24"/>
          <w:szCs w:val="24"/>
        </w:rPr>
        <w:t>Primeraným ziskom je miera rentability kapitálu, ktorá nepresahuje príslušnú swapovú mieru zvýšenú o prémiu vo výške 100 bázických bodov. Relevantná swapová úroková miera je swapová úroková miera, ktorej splatnosť a mena zodpovedajú trvaniu a mene poverovacieho aktu</w:t>
      </w:r>
      <w:r w:rsidRPr="009136FB">
        <w:rPr>
          <w:rFonts w:eastAsia="Calibri"/>
          <w:sz w:val="24"/>
          <w:szCs w:val="24"/>
          <w:vertAlign w:val="superscript"/>
        </w:rPr>
        <w:footnoteReference w:id="6"/>
      </w:r>
      <w:r w:rsidRPr="009136FB">
        <w:rPr>
          <w:rFonts w:eastAsia="Calibri"/>
          <w:sz w:val="24"/>
          <w:szCs w:val="24"/>
        </w:rPr>
        <w:t xml:space="preserve">. </w:t>
      </w:r>
      <w:r>
        <w:rPr>
          <w:rFonts w:eastAsia="Calibri"/>
          <w:sz w:val="24"/>
          <w:szCs w:val="24"/>
        </w:rPr>
        <w:t>V prípade, ak je vlastné imanie v overovanom roku nižšie ako 0 EUR, tak primeraný zisk je 0 EUR.</w:t>
      </w:r>
    </w:p>
    <w:p w:rsidR="002A2B45" w:rsidRPr="009136FB" w:rsidRDefault="002A2B45" w:rsidP="002A2B45">
      <w:pPr>
        <w:widowControl/>
        <w:autoSpaceDE/>
        <w:autoSpaceDN/>
        <w:spacing w:after="120" w:line="259" w:lineRule="auto"/>
        <w:ind w:left="567" w:right="726"/>
        <w:jc w:val="both"/>
        <w:rPr>
          <w:rFonts w:eastAsia="Calibri"/>
          <w:b/>
          <w:bCs/>
          <w:sz w:val="24"/>
          <w:szCs w:val="24"/>
        </w:rPr>
      </w:pPr>
      <w:r w:rsidRPr="004243B5">
        <w:rPr>
          <w:rFonts w:eastAsia="Calibri"/>
          <w:b/>
          <w:bCs/>
          <w:sz w:val="24"/>
          <w:szCs w:val="24"/>
        </w:rPr>
        <w:t xml:space="preserve">V prípade, ak je v čase </w:t>
      </w:r>
      <w:r>
        <w:rPr>
          <w:rFonts w:eastAsia="Calibri"/>
          <w:b/>
          <w:bCs/>
          <w:sz w:val="24"/>
          <w:szCs w:val="24"/>
        </w:rPr>
        <w:t>skončenia</w:t>
      </w:r>
      <w:r w:rsidRPr="004243B5">
        <w:rPr>
          <w:rFonts w:eastAsia="Calibri"/>
          <w:b/>
          <w:bCs/>
          <w:sz w:val="24"/>
          <w:szCs w:val="24"/>
        </w:rPr>
        <w:t xml:space="preserve"> doby </w:t>
      </w:r>
      <w:r>
        <w:rPr>
          <w:rFonts w:eastAsia="Calibri"/>
          <w:b/>
          <w:bCs/>
          <w:sz w:val="24"/>
          <w:szCs w:val="24"/>
        </w:rPr>
        <w:t xml:space="preserve">trvania </w:t>
      </w:r>
      <w:r w:rsidRPr="004243B5">
        <w:rPr>
          <w:rFonts w:eastAsia="Calibri"/>
          <w:b/>
          <w:bCs/>
          <w:sz w:val="24"/>
          <w:szCs w:val="24"/>
        </w:rPr>
        <w:t xml:space="preserve">poverenia zostatková hodnota majetku podľa daňových odpisov nenulová, a doba </w:t>
      </w:r>
      <w:r>
        <w:rPr>
          <w:rFonts w:eastAsia="Calibri"/>
          <w:b/>
          <w:bCs/>
          <w:sz w:val="24"/>
          <w:szCs w:val="24"/>
        </w:rPr>
        <w:t xml:space="preserve">trvania </w:t>
      </w:r>
      <w:r w:rsidRPr="004243B5">
        <w:rPr>
          <w:rFonts w:eastAsia="Calibri"/>
          <w:b/>
          <w:bCs/>
          <w:sz w:val="24"/>
          <w:szCs w:val="24"/>
        </w:rPr>
        <w:t>poverenia nie je predĺžená na ďalšie obdobie</w:t>
      </w:r>
      <w:r>
        <w:rPr>
          <w:rFonts w:eastAsia="Calibri"/>
          <w:b/>
          <w:bCs/>
          <w:sz w:val="24"/>
          <w:szCs w:val="24"/>
        </w:rPr>
        <w:t>,</w:t>
      </w:r>
      <w:r w:rsidRPr="004243B5">
        <w:rPr>
          <w:rFonts w:eastAsia="Calibri"/>
          <w:b/>
          <w:bCs/>
          <w:sz w:val="24"/>
          <w:szCs w:val="24"/>
        </w:rPr>
        <w:t xml:space="preserve"> zostatková hodnota majetku nadobudnutého realizáciou investície je považovaná za nadmernú náhradu. Túto zostatkovú hodnotu je prijímateľ povinný vrátiť poskytovateľovi formou úhrady peňažných prostriedkov, alebo formou vrátenia majetku nadobudnutého realizáciou podporenej investície.</w:t>
      </w:r>
    </w:p>
    <w:p w:rsidR="002A2B45" w:rsidRPr="004243B5" w:rsidRDefault="002A2B45" w:rsidP="002A2B45">
      <w:pPr>
        <w:pStyle w:val="Odsekzoznamu"/>
        <w:keepNext/>
        <w:widowControl/>
        <w:numPr>
          <w:ilvl w:val="0"/>
          <w:numId w:val="1"/>
        </w:numPr>
        <w:autoSpaceDE/>
        <w:autoSpaceDN/>
        <w:spacing w:before="360" w:after="160" w:line="259" w:lineRule="auto"/>
        <w:ind w:left="992" w:hanging="425"/>
        <w:contextualSpacing/>
        <w:jc w:val="left"/>
        <w:rPr>
          <w:rFonts w:eastAsiaTheme="minorHAnsi"/>
          <w:b/>
          <w:bCs/>
          <w:sz w:val="24"/>
          <w:szCs w:val="24"/>
          <w:u w:val="single"/>
        </w:rPr>
      </w:pPr>
      <w:r w:rsidRPr="004243B5">
        <w:rPr>
          <w:rFonts w:eastAsiaTheme="minorHAnsi"/>
          <w:b/>
          <w:bCs/>
          <w:sz w:val="24"/>
          <w:szCs w:val="24"/>
          <w:u w:val="single"/>
        </w:rPr>
        <w:lastRenderedPageBreak/>
        <w:t xml:space="preserve">KONTROLA NADMERNEJ NÁHRADY (OPRÁVNENÁ VÝŠKA </w:t>
      </w:r>
      <w:r w:rsidRPr="00B34E8A">
        <w:rPr>
          <w:rFonts w:eastAsiaTheme="minorHAnsi"/>
          <w:b/>
          <w:bCs/>
          <w:caps/>
          <w:sz w:val="24"/>
          <w:szCs w:val="24"/>
          <w:u w:val="single"/>
        </w:rPr>
        <w:t>prostriedkov mechanizmu</w:t>
      </w:r>
      <w:r w:rsidRPr="004243B5">
        <w:rPr>
          <w:rFonts w:eastAsiaTheme="minorHAnsi"/>
          <w:b/>
          <w:bCs/>
          <w:sz w:val="24"/>
          <w:szCs w:val="24"/>
          <w:u w:val="single"/>
        </w:rPr>
        <w:t>)</w:t>
      </w:r>
    </w:p>
    <w:p w:rsidR="002A2B45" w:rsidRPr="009136FB" w:rsidRDefault="002A2B45" w:rsidP="002A2B45">
      <w:pPr>
        <w:widowControl/>
        <w:autoSpaceDE/>
        <w:autoSpaceDN/>
        <w:spacing w:after="120" w:line="259" w:lineRule="auto"/>
        <w:ind w:left="567" w:right="726"/>
        <w:jc w:val="both"/>
        <w:rPr>
          <w:rFonts w:eastAsia="Calibri"/>
          <w:sz w:val="24"/>
          <w:szCs w:val="24"/>
        </w:rPr>
      </w:pPr>
      <w:r w:rsidRPr="009136FB">
        <w:rPr>
          <w:rFonts w:eastAsia="Calibri"/>
          <w:sz w:val="24"/>
          <w:szCs w:val="24"/>
        </w:rPr>
        <w:t>Je potrebné zabezpečiť, aby náhrada poskytnutá za služby všeobecného hospodárskeho záujmu spĺňala požiadavky stanovené v</w:t>
      </w:r>
      <w:r>
        <w:rPr>
          <w:rFonts w:eastAsia="Calibri"/>
          <w:sz w:val="24"/>
          <w:szCs w:val="24"/>
        </w:rPr>
        <w:t> </w:t>
      </w:r>
      <w:r w:rsidRPr="009136FB">
        <w:rPr>
          <w:rFonts w:eastAsia="Calibri"/>
          <w:sz w:val="24"/>
          <w:szCs w:val="24"/>
        </w:rPr>
        <w:t>rozhodnutí</w:t>
      </w:r>
      <w:r>
        <w:rPr>
          <w:rFonts w:eastAsia="Calibri"/>
          <w:sz w:val="24"/>
          <w:szCs w:val="24"/>
        </w:rPr>
        <w:t xml:space="preserve"> Komisie </w:t>
      </w:r>
      <w:r w:rsidRPr="009136FB">
        <w:rPr>
          <w:rFonts w:eastAsia="Calibri"/>
          <w:sz w:val="24"/>
          <w:szCs w:val="24"/>
        </w:rPr>
        <w:t>č. 2012/21/EÚ</w:t>
      </w:r>
      <w:r>
        <w:rPr>
          <w:rFonts w:eastAsia="Calibri"/>
          <w:sz w:val="24"/>
          <w:szCs w:val="24"/>
        </w:rPr>
        <w:t>,</w:t>
      </w:r>
      <w:r w:rsidRPr="009136FB">
        <w:rPr>
          <w:rFonts w:eastAsia="Calibri"/>
          <w:sz w:val="24"/>
          <w:szCs w:val="24"/>
        </w:rPr>
        <w:t xml:space="preserve"> a najmä aby prijímateľovi pomoci nebola poskytnutá vyššia náhrada </w:t>
      </w:r>
      <w:r>
        <w:rPr>
          <w:rFonts w:eastAsia="Calibri"/>
          <w:sz w:val="24"/>
          <w:szCs w:val="24"/>
        </w:rPr>
        <w:t xml:space="preserve">(nadmerná náhrada), </w:t>
      </w:r>
      <w:r w:rsidRPr="009136FB">
        <w:rPr>
          <w:rFonts w:eastAsia="Calibri"/>
          <w:sz w:val="24"/>
          <w:szCs w:val="24"/>
        </w:rPr>
        <w:t xml:space="preserve">ako je stanovená v rozhodnutí </w:t>
      </w:r>
      <w:r>
        <w:rPr>
          <w:rFonts w:eastAsia="Calibri"/>
          <w:sz w:val="24"/>
          <w:szCs w:val="24"/>
        </w:rPr>
        <w:t xml:space="preserve">Komisie </w:t>
      </w:r>
      <w:r w:rsidRPr="009136FB">
        <w:rPr>
          <w:rFonts w:eastAsia="Calibri"/>
          <w:sz w:val="24"/>
          <w:szCs w:val="24"/>
        </w:rPr>
        <w:t>č. 2012/21/EÚ.</w:t>
      </w:r>
    </w:p>
    <w:p w:rsidR="002A2B45" w:rsidRPr="009136FB" w:rsidRDefault="002A2B45" w:rsidP="002A2B45">
      <w:pPr>
        <w:widowControl/>
        <w:autoSpaceDE/>
        <w:autoSpaceDN/>
        <w:spacing w:after="120" w:line="259" w:lineRule="auto"/>
        <w:ind w:left="567" w:right="726"/>
        <w:jc w:val="both"/>
        <w:rPr>
          <w:rFonts w:eastAsia="Calibri"/>
          <w:sz w:val="24"/>
          <w:szCs w:val="24"/>
        </w:rPr>
      </w:pPr>
      <w:r w:rsidRPr="009136FB">
        <w:rPr>
          <w:rFonts w:eastAsia="Calibri"/>
          <w:sz w:val="24"/>
          <w:szCs w:val="24"/>
        </w:rPr>
        <w:t>Ministerstvo zdravotníctva SR</w:t>
      </w:r>
      <w:r>
        <w:rPr>
          <w:rFonts w:eastAsia="Calibri"/>
          <w:sz w:val="24"/>
          <w:szCs w:val="24"/>
        </w:rPr>
        <w:t>,</w:t>
      </w:r>
      <w:r w:rsidRPr="009136FB">
        <w:rPr>
          <w:rFonts w:eastAsia="Calibri"/>
          <w:sz w:val="24"/>
          <w:szCs w:val="24"/>
        </w:rPr>
        <w:t xml:space="preserve"> ako poskytovateľ náhrady </w:t>
      </w:r>
      <w:r>
        <w:rPr>
          <w:rFonts w:eastAsia="Calibri"/>
          <w:sz w:val="24"/>
          <w:szCs w:val="24"/>
        </w:rPr>
        <w:t xml:space="preserve">a </w:t>
      </w:r>
      <w:r w:rsidRPr="009136FB">
        <w:rPr>
          <w:rFonts w:eastAsia="Calibri"/>
          <w:sz w:val="24"/>
          <w:szCs w:val="24"/>
        </w:rPr>
        <w:t xml:space="preserve">vykonávateľ schémy musí zabezpečiť, aby neboli udeľované vyššie náhrady, ako je stanovené v článku 5 rozhodnutia </w:t>
      </w:r>
      <w:r>
        <w:rPr>
          <w:rFonts w:eastAsia="Calibri"/>
          <w:sz w:val="24"/>
          <w:szCs w:val="24"/>
        </w:rPr>
        <w:t xml:space="preserve">Komisie </w:t>
      </w:r>
      <w:r w:rsidRPr="009136FB">
        <w:rPr>
          <w:rFonts w:eastAsia="Calibri"/>
          <w:sz w:val="24"/>
          <w:szCs w:val="24"/>
        </w:rPr>
        <w:t>č. 2012/21/EÚ a za tým účelom vykonáva overovanie nadmernej náhrady podľa tejto metodiky.</w:t>
      </w:r>
    </w:p>
    <w:p w:rsidR="002A2B45" w:rsidRPr="009136FB" w:rsidRDefault="002A2B45" w:rsidP="002A2B45">
      <w:pPr>
        <w:widowControl/>
        <w:autoSpaceDE/>
        <w:autoSpaceDN/>
        <w:spacing w:after="120" w:line="259" w:lineRule="auto"/>
        <w:ind w:left="567" w:right="726"/>
        <w:jc w:val="both"/>
        <w:rPr>
          <w:rFonts w:eastAsia="Calibri"/>
          <w:sz w:val="24"/>
          <w:szCs w:val="24"/>
        </w:rPr>
      </w:pPr>
      <w:r w:rsidRPr="009136FB">
        <w:rPr>
          <w:rFonts w:eastAsia="Calibri"/>
          <w:sz w:val="24"/>
          <w:szCs w:val="24"/>
        </w:rPr>
        <w:t xml:space="preserve">Predkladanie kontrolného výpočtu nadmernej náhrady podľa </w:t>
      </w:r>
      <w:r>
        <w:rPr>
          <w:rFonts w:eastAsia="Calibri"/>
          <w:i/>
          <w:iCs/>
          <w:sz w:val="24"/>
          <w:szCs w:val="24"/>
        </w:rPr>
        <w:t>Prílohy 1 Metodiky</w:t>
      </w:r>
      <w:r w:rsidRPr="009136FB">
        <w:rPr>
          <w:rFonts w:eastAsia="Calibri"/>
          <w:sz w:val="24"/>
          <w:szCs w:val="24"/>
        </w:rPr>
        <w:t xml:space="preserve"> </w:t>
      </w:r>
      <w:r>
        <w:rPr>
          <w:rFonts w:eastAsia="Calibri"/>
          <w:sz w:val="24"/>
          <w:szCs w:val="24"/>
        </w:rPr>
        <w:t>a p</w:t>
      </w:r>
      <w:r w:rsidRPr="009136FB">
        <w:rPr>
          <w:rFonts w:eastAsia="Calibri"/>
          <w:sz w:val="24"/>
          <w:szCs w:val="24"/>
        </w:rPr>
        <w:t>rimeranosť výšky náhrady za SVHZ</w:t>
      </w:r>
      <w:r>
        <w:rPr>
          <w:sz w:val="24"/>
          <w:szCs w:val="24"/>
        </w:rPr>
        <w:t xml:space="preserve"> bude zo strany poskytovateľa</w:t>
      </w:r>
      <w:r w:rsidRPr="002F5B37">
        <w:rPr>
          <w:sz w:val="24"/>
          <w:szCs w:val="24"/>
        </w:rPr>
        <w:t xml:space="preserve"> </w:t>
      </w:r>
      <w:r>
        <w:rPr>
          <w:sz w:val="24"/>
          <w:szCs w:val="24"/>
        </w:rPr>
        <w:t>predmetom kontroly, ktorá</w:t>
      </w:r>
      <w:r w:rsidRPr="002F5B37">
        <w:rPr>
          <w:sz w:val="24"/>
          <w:szCs w:val="24"/>
        </w:rPr>
        <w:t xml:space="preserve"> </w:t>
      </w:r>
      <w:r w:rsidRPr="009136FB">
        <w:rPr>
          <w:rFonts w:eastAsia="Calibri"/>
          <w:sz w:val="24"/>
          <w:szCs w:val="24"/>
        </w:rPr>
        <w:t xml:space="preserve">sa bude vykonávať každý rok </w:t>
      </w:r>
      <w:r>
        <w:rPr>
          <w:rFonts w:eastAsia="Calibri"/>
          <w:sz w:val="24"/>
          <w:szCs w:val="24"/>
        </w:rPr>
        <w:t>počnúc rokom</w:t>
      </w:r>
      <w:r w:rsidRPr="009136FB">
        <w:rPr>
          <w:rFonts w:eastAsia="Calibri"/>
          <w:sz w:val="24"/>
          <w:szCs w:val="24"/>
        </w:rPr>
        <w:t xml:space="preserve"> ukončenia realizácie investičnej fázy projektu</w:t>
      </w:r>
      <w:r w:rsidRPr="009136FB">
        <w:rPr>
          <w:rFonts w:eastAsia="Calibri"/>
          <w:sz w:val="24"/>
          <w:szCs w:val="24"/>
          <w:vertAlign w:val="superscript"/>
        </w:rPr>
        <w:footnoteReference w:id="7"/>
      </w:r>
      <w:r>
        <w:rPr>
          <w:rFonts w:eastAsia="Calibri"/>
          <w:sz w:val="24"/>
          <w:szCs w:val="24"/>
        </w:rPr>
        <w:t xml:space="preserve">, ale nie neskôr ako tri roky po nadobudnutí účinnosti </w:t>
      </w:r>
      <w:r w:rsidRPr="0072378D">
        <w:rPr>
          <w:rFonts w:eastAsia="Calibri"/>
          <w:sz w:val="24"/>
          <w:szCs w:val="24"/>
        </w:rPr>
        <w:t xml:space="preserve"> </w:t>
      </w:r>
      <w:r>
        <w:rPr>
          <w:rFonts w:eastAsia="Calibri"/>
          <w:sz w:val="24"/>
          <w:szCs w:val="24"/>
        </w:rPr>
        <w:t>Zmluvy o poskytnutí prostriedkov mechanizmu na podporu obnovy a odolnosti (Zmluva o PPM)</w:t>
      </w:r>
      <w:r w:rsidRPr="009136FB">
        <w:rPr>
          <w:rFonts w:eastAsia="Calibri"/>
          <w:sz w:val="24"/>
          <w:szCs w:val="24"/>
        </w:rPr>
        <w:t xml:space="preserve"> a na konci obdobia poverenia</w:t>
      </w:r>
      <w:r w:rsidRPr="002F5B37">
        <w:rPr>
          <w:rStyle w:val="Odkaznapoznmkupodiarou"/>
          <w:sz w:val="24"/>
          <w:szCs w:val="24"/>
        </w:rPr>
        <w:footnoteReference w:id="8"/>
      </w:r>
      <w:r w:rsidRPr="009136FB">
        <w:rPr>
          <w:rFonts w:eastAsia="Calibri"/>
          <w:sz w:val="24"/>
          <w:szCs w:val="24"/>
        </w:rPr>
        <w:t xml:space="preserve">. </w:t>
      </w:r>
    </w:p>
    <w:p w:rsidR="002A2B45" w:rsidRPr="009136FB" w:rsidRDefault="002A2B45" w:rsidP="002A2B45">
      <w:pPr>
        <w:widowControl/>
        <w:autoSpaceDE/>
        <w:autoSpaceDN/>
        <w:spacing w:after="120" w:line="259" w:lineRule="auto"/>
        <w:ind w:left="567" w:right="726"/>
        <w:jc w:val="both"/>
        <w:rPr>
          <w:rFonts w:eastAsia="Calibri"/>
          <w:sz w:val="24"/>
          <w:szCs w:val="24"/>
          <w:u w:val="single"/>
        </w:rPr>
      </w:pPr>
      <w:r w:rsidRPr="009136FB">
        <w:rPr>
          <w:rFonts w:eastAsia="Calibri"/>
          <w:sz w:val="24"/>
          <w:szCs w:val="24"/>
          <w:u w:val="single"/>
        </w:rPr>
        <w:t xml:space="preserve">V prípade, ak bola prijímateľovi pomoci poskytnutá nadmerná náhrada, </w:t>
      </w:r>
      <w:r>
        <w:rPr>
          <w:rFonts w:eastAsia="Calibri"/>
          <w:sz w:val="24"/>
          <w:szCs w:val="24"/>
          <w:u w:val="single"/>
        </w:rPr>
        <w:t>poskytovateľ</w:t>
      </w:r>
      <w:r w:rsidRPr="009136FB">
        <w:rPr>
          <w:rFonts w:eastAsia="Calibri"/>
          <w:sz w:val="24"/>
          <w:szCs w:val="24"/>
          <w:u w:val="single"/>
        </w:rPr>
        <w:t xml:space="preserve"> požiada prijímateľa o vrátenie celej výšky nadmerne poskytnutej náhrady, ktorú je prijímateľ povinný v</w:t>
      </w:r>
      <w:r>
        <w:rPr>
          <w:rFonts w:eastAsia="Calibri"/>
          <w:sz w:val="24"/>
          <w:szCs w:val="24"/>
          <w:u w:val="single"/>
        </w:rPr>
        <w:t> </w:t>
      </w:r>
      <w:r w:rsidRPr="009136FB">
        <w:rPr>
          <w:rFonts w:eastAsia="Calibri"/>
          <w:sz w:val="24"/>
          <w:szCs w:val="24"/>
          <w:u w:val="single"/>
        </w:rPr>
        <w:t xml:space="preserve">zmysle článku </w:t>
      </w:r>
      <w:r>
        <w:rPr>
          <w:rFonts w:eastAsia="Calibri"/>
          <w:sz w:val="24"/>
          <w:szCs w:val="24"/>
          <w:u w:val="single"/>
        </w:rPr>
        <w:t>P</w:t>
      </w:r>
      <w:r w:rsidRPr="009136FB">
        <w:rPr>
          <w:rFonts w:eastAsia="Calibri"/>
          <w:sz w:val="24"/>
          <w:szCs w:val="24"/>
          <w:u w:val="single"/>
        </w:rPr>
        <w:t xml:space="preserve">. ods. 7 schémy vrátiť </w:t>
      </w:r>
      <w:r>
        <w:rPr>
          <w:rFonts w:eastAsia="Calibri"/>
          <w:sz w:val="24"/>
          <w:szCs w:val="24"/>
          <w:u w:val="single"/>
        </w:rPr>
        <w:t>poskytovateľovi</w:t>
      </w:r>
      <w:r w:rsidRPr="009136FB">
        <w:rPr>
          <w:rFonts w:eastAsia="Calibri"/>
          <w:sz w:val="24"/>
          <w:szCs w:val="24"/>
          <w:u w:val="single"/>
        </w:rPr>
        <w:t xml:space="preserve">, ktorý poskytol prijímateľovi </w:t>
      </w:r>
      <w:r>
        <w:rPr>
          <w:rFonts w:eastAsia="Calibri"/>
          <w:sz w:val="24"/>
          <w:szCs w:val="24"/>
          <w:u w:val="single"/>
        </w:rPr>
        <w:t>prostriedky mechanizmu</w:t>
      </w:r>
      <w:r w:rsidRPr="009136FB">
        <w:rPr>
          <w:rFonts w:eastAsia="Calibri"/>
          <w:sz w:val="24"/>
          <w:szCs w:val="24"/>
          <w:u w:val="single"/>
        </w:rPr>
        <w:t>.</w:t>
      </w:r>
    </w:p>
    <w:p w:rsidR="002A2B45" w:rsidRPr="004243B5" w:rsidRDefault="002A2B45" w:rsidP="002A2B45">
      <w:pPr>
        <w:pStyle w:val="Odsekzoznamu"/>
        <w:widowControl/>
        <w:numPr>
          <w:ilvl w:val="0"/>
          <w:numId w:val="1"/>
        </w:numPr>
        <w:autoSpaceDE/>
        <w:autoSpaceDN/>
        <w:spacing w:before="360" w:after="160" w:line="259" w:lineRule="auto"/>
        <w:ind w:left="992" w:hanging="425"/>
        <w:contextualSpacing/>
        <w:jc w:val="left"/>
        <w:rPr>
          <w:rFonts w:eastAsiaTheme="minorHAnsi"/>
          <w:b/>
          <w:bCs/>
          <w:sz w:val="24"/>
          <w:szCs w:val="24"/>
          <w:u w:val="single"/>
        </w:rPr>
      </w:pPr>
      <w:r w:rsidRPr="004243B5">
        <w:rPr>
          <w:rFonts w:eastAsiaTheme="minorHAnsi"/>
          <w:b/>
          <w:bCs/>
          <w:sz w:val="24"/>
          <w:szCs w:val="24"/>
          <w:u w:val="single"/>
        </w:rPr>
        <w:t>ZÁVEREČNÉ USTANOVENIA</w:t>
      </w:r>
    </w:p>
    <w:p w:rsidR="002A2B45" w:rsidRPr="009136FB" w:rsidRDefault="002A2B45" w:rsidP="002A2B45">
      <w:pPr>
        <w:widowControl/>
        <w:autoSpaceDE/>
        <w:autoSpaceDN/>
        <w:spacing w:after="120" w:line="259" w:lineRule="auto"/>
        <w:ind w:left="567" w:right="726"/>
        <w:jc w:val="both"/>
        <w:rPr>
          <w:rFonts w:eastAsia="Calibri"/>
          <w:sz w:val="24"/>
          <w:szCs w:val="24"/>
        </w:rPr>
      </w:pPr>
      <w:r w:rsidRPr="009136FB">
        <w:rPr>
          <w:rFonts w:eastAsia="Calibri"/>
          <w:sz w:val="24"/>
          <w:szCs w:val="24"/>
        </w:rPr>
        <w:t>Táto metodika nadobúda platnosť a účinnosť dňom uverejnenia schémy v Obchodnom vestníku.</w:t>
      </w:r>
    </w:p>
    <w:p w:rsidR="002A2B45" w:rsidRPr="009136FB" w:rsidRDefault="002A2B45" w:rsidP="002A2B45">
      <w:pPr>
        <w:widowControl/>
        <w:autoSpaceDE/>
        <w:autoSpaceDN/>
        <w:spacing w:after="160" w:line="259" w:lineRule="auto"/>
        <w:ind w:left="567" w:right="725"/>
        <w:jc w:val="both"/>
        <w:rPr>
          <w:rFonts w:eastAsia="Calibri"/>
          <w:sz w:val="24"/>
          <w:szCs w:val="24"/>
        </w:rPr>
      </w:pPr>
      <w:r w:rsidRPr="009136FB">
        <w:rPr>
          <w:rFonts w:eastAsia="Calibri"/>
          <w:sz w:val="24"/>
          <w:szCs w:val="24"/>
        </w:rPr>
        <w:t xml:space="preserve">Súčasťou metodiky je výpočet náhrady poskytovanej zo zdrojov </w:t>
      </w:r>
      <w:r>
        <w:rPr>
          <w:rFonts w:eastAsia="Calibri"/>
          <w:sz w:val="24"/>
          <w:szCs w:val="24"/>
        </w:rPr>
        <w:t>POO SR</w:t>
      </w:r>
      <w:r w:rsidRPr="009136FB">
        <w:rPr>
          <w:rFonts w:eastAsia="Calibri"/>
          <w:sz w:val="24"/>
          <w:szCs w:val="24"/>
        </w:rPr>
        <w:t xml:space="preserve"> a štátneho rozpočtu SR v nadväznosti na rozhodnutie </w:t>
      </w:r>
      <w:r>
        <w:rPr>
          <w:rFonts w:eastAsia="Calibri"/>
          <w:sz w:val="24"/>
          <w:szCs w:val="24"/>
        </w:rPr>
        <w:t xml:space="preserve">Komisie </w:t>
      </w:r>
      <w:r w:rsidRPr="009136FB">
        <w:rPr>
          <w:rFonts w:eastAsia="Calibri"/>
          <w:sz w:val="24"/>
          <w:szCs w:val="24"/>
        </w:rPr>
        <w:t xml:space="preserve">č. 2012/21/EÚ, ktorý tvorí </w:t>
      </w:r>
      <w:r>
        <w:rPr>
          <w:rFonts w:eastAsia="Calibri"/>
          <w:i/>
          <w:iCs/>
          <w:sz w:val="24"/>
          <w:szCs w:val="24"/>
        </w:rPr>
        <w:t>Prílohu 1 Metodiky</w:t>
      </w:r>
      <w:r w:rsidRPr="009136FB">
        <w:rPr>
          <w:rFonts w:eastAsia="Calibri"/>
          <w:sz w:val="24"/>
          <w:szCs w:val="24"/>
        </w:rPr>
        <w:t>.</w:t>
      </w:r>
    </w:p>
    <w:p w:rsidR="002A2B45" w:rsidRDefault="002A2B45" w:rsidP="002A2B45">
      <w:pPr>
        <w:spacing w:before="120" w:after="120"/>
        <w:ind w:left="567" w:right="725"/>
        <w:jc w:val="both"/>
        <w:rPr>
          <w:sz w:val="24"/>
          <w:szCs w:val="24"/>
        </w:rPr>
        <w:sectPr w:rsidR="002A2B45" w:rsidSect="00CA4AD9">
          <w:footerReference w:type="default" r:id="rId7"/>
          <w:pgSz w:w="11910" w:h="16840"/>
          <w:pgMar w:top="1320" w:right="442" w:bottom="960" w:left="820" w:header="0" w:footer="589" w:gutter="0"/>
          <w:pgNumType w:start="1"/>
          <w:cols w:space="708"/>
        </w:sectPr>
      </w:pPr>
    </w:p>
    <w:p w:rsidR="002A2B45" w:rsidRPr="00443F17" w:rsidRDefault="002A2B45" w:rsidP="002A2B45">
      <w:pPr>
        <w:ind w:left="284"/>
        <w:rPr>
          <w:i/>
          <w:iCs/>
          <w:sz w:val="24"/>
          <w:szCs w:val="24"/>
        </w:rPr>
      </w:pPr>
      <w:r>
        <w:rPr>
          <w:i/>
          <w:iCs/>
          <w:sz w:val="24"/>
          <w:szCs w:val="24"/>
        </w:rPr>
        <w:lastRenderedPageBreak/>
        <w:t xml:space="preserve">Príloha 1 k Metodike pre stanovenie výšky náhrady poskytovanej zo zdrojov POO SR a štátneho rozpočtu SR </w:t>
      </w:r>
      <w:r w:rsidRPr="00EF7D63">
        <w:rPr>
          <w:i/>
          <w:iCs/>
          <w:sz w:val="24"/>
          <w:szCs w:val="24"/>
        </w:rPr>
        <w:t>(</w:t>
      </w:r>
      <w:r>
        <w:rPr>
          <w:i/>
          <w:iCs/>
          <w:sz w:val="24"/>
          <w:szCs w:val="24"/>
        </w:rPr>
        <w:t>Š</w:t>
      </w:r>
      <w:r w:rsidRPr="00EF7D63">
        <w:rPr>
          <w:i/>
          <w:iCs/>
          <w:sz w:val="24"/>
          <w:szCs w:val="24"/>
        </w:rPr>
        <w:t xml:space="preserve">P SVHZ </w:t>
      </w:r>
      <w:r>
        <w:rPr>
          <w:i/>
          <w:iCs/>
          <w:sz w:val="24"/>
          <w:szCs w:val="24"/>
        </w:rPr>
        <w:t xml:space="preserve">pre investície do zariadení </w:t>
      </w:r>
      <w:r w:rsidRPr="00EB2086">
        <w:rPr>
          <w:i/>
          <w:sz w:val="24"/>
        </w:rPr>
        <w:t>spoločných vyšetrovacích a liečebných zložiek</w:t>
      </w:r>
      <w:r w:rsidRPr="00EB2086">
        <w:rPr>
          <w:sz w:val="24"/>
        </w:rPr>
        <w:t xml:space="preserve"> </w:t>
      </w:r>
      <w:r>
        <w:rPr>
          <w:i/>
          <w:iCs/>
          <w:sz w:val="24"/>
          <w:szCs w:val="24"/>
        </w:rPr>
        <w:t xml:space="preserve">v rámci </w:t>
      </w:r>
      <w:r w:rsidRPr="00D5618C">
        <w:rPr>
          <w:i/>
          <w:iCs/>
          <w:sz w:val="24"/>
          <w:szCs w:val="24"/>
        </w:rPr>
        <w:t xml:space="preserve">digitalizácie v zdravotníctve, </w:t>
      </w:r>
      <w:r w:rsidRPr="003D79DA">
        <w:rPr>
          <w:i/>
          <w:iCs/>
          <w:sz w:val="24"/>
          <w:szCs w:val="24"/>
        </w:rPr>
        <w:t>psycho-sociálnych centier a</w:t>
      </w:r>
      <w:r>
        <w:rPr>
          <w:i/>
          <w:iCs/>
          <w:sz w:val="24"/>
          <w:szCs w:val="24"/>
        </w:rPr>
        <w:t> </w:t>
      </w:r>
      <w:r w:rsidRPr="003D79DA">
        <w:rPr>
          <w:i/>
          <w:iCs/>
          <w:sz w:val="24"/>
          <w:szCs w:val="24"/>
        </w:rPr>
        <w:t>psychiatrických stacionárov</w:t>
      </w:r>
      <w:r w:rsidRPr="003D79DA" w:rsidDel="003D79DA">
        <w:rPr>
          <w:i/>
          <w:iCs/>
          <w:sz w:val="24"/>
          <w:szCs w:val="24"/>
        </w:rPr>
        <w:t xml:space="preserve"> </w:t>
      </w:r>
      <w:r>
        <w:rPr>
          <w:i/>
          <w:iCs/>
          <w:sz w:val="24"/>
          <w:szCs w:val="24"/>
        </w:rPr>
        <w:t>z POO SR</w:t>
      </w:r>
      <w:r w:rsidRPr="00EF7D63">
        <w:rPr>
          <w:i/>
          <w:iCs/>
          <w:sz w:val="24"/>
          <w:szCs w:val="24"/>
        </w:rPr>
        <w:t>)</w:t>
      </w:r>
    </w:p>
    <w:p w:rsidR="002A2B45" w:rsidRDefault="002A2B45" w:rsidP="002A2B45">
      <w:pPr>
        <w:ind w:left="284"/>
        <w:rPr>
          <w:b/>
          <w:bCs/>
          <w:sz w:val="24"/>
          <w:szCs w:val="24"/>
        </w:rPr>
      </w:pPr>
    </w:p>
    <w:p w:rsidR="002A2B45" w:rsidRPr="00EA451C" w:rsidRDefault="002A2B45" w:rsidP="002A2B45">
      <w:pPr>
        <w:ind w:left="284"/>
        <w:jc w:val="both"/>
        <w:rPr>
          <w:b/>
          <w:bCs/>
        </w:rPr>
      </w:pPr>
      <w:r w:rsidRPr="00EA451C">
        <w:rPr>
          <w:b/>
          <w:bCs/>
        </w:rPr>
        <w:t xml:space="preserve">KONTROLA NÁHRADY POSKYTOVANEJ ZO ZDROJOV </w:t>
      </w:r>
      <w:r>
        <w:rPr>
          <w:b/>
          <w:bCs/>
        </w:rPr>
        <w:t>POO SR</w:t>
      </w:r>
      <w:r w:rsidRPr="00EA451C">
        <w:rPr>
          <w:b/>
          <w:bCs/>
        </w:rPr>
        <w:t xml:space="preserve"> A ŠTÁTNEHO ROZPOČTU SR V NADVÄZNOSTI NA ROZHODNUTIE KOMISIE č. 2012/21/EÚ Z</w:t>
      </w:r>
      <w:r>
        <w:rPr>
          <w:b/>
          <w:bCs/>
        </w:rPr>
        <w:t> </w:t>
      </w:r>
      <w:r w:rsidRPr="00EA451C">
        <w:rPr>
          <w:b/>
          <w:bCs/>
        </w:rPr>
        <w:t>20.</w:t>
      </w:r>
      <w:r>
        <w:rPr>
          <w:b/>
          <w:bCs/>
        </w:rPr>
        <w:t> </w:t>
      </w:r>
      <w:r w:rsidRPr="00EA451C">
        <w:rPr>
          <w:b/>
          <w:bCs/>
        </w:rPr>
        <w:t>DECEMBRA 2011</w:t>
      </w:r>
    </w:p>
    <w:p w:rsidR="002A2B45" w:rsidRDefault="002A2B45" w:rsidP="002A2B45">
      <w:pPr>
        <w:ind w:left="284"/>
        <w:jc w:val="both"/>
        <w:rPr>
          <w:b/>
          <w:bCs/>
        </w:rPr>
      </w:pPr>
    </w:p>
    <w:p w:rsidR="002A2B45" w:rsidRPr="00EA451C" w:rsidRDefault="002A2B45" w:rsidP="002A2B45">
      <w:pPr>
        <w:ind w:left="284"/>
        <w:jc w:val="both"/>
        <w:rPr>
          <w:b/>
          <w:bCs/>
        </w:rPr>
      </w:pPr>
      <w:r w:rsidRPr="00EA451C">
        <w:rPr>
          <w:b/>
          <w:bCs/>
        </w:rPr>
        <w:t>FINANČNÝ VÝKAZ (pre všetky právne formy žiadateľov o príspevok)</w:t>
      </w:r>
    </w:p>
    <w:p w:rsidR="002A2B45" w:rsidRPr="00443F17" w:rsidRDefault="002A2B45" w:rsidP="002A2B45">
      <w:pPr>
        <w:ind w:left="284"/>
        <w:rPr>
          <w:sz w:val="24"/>
          <w:szCs w:val="24"/>
        </w:rPr>
      </w:pPr>
      <w:r w:rsidRPr="00443F17">
        <w:rPr>
          <w:sz w:val="24"/>
          <w:szCs w:val="24"/>
        </w:rPr>
        <w:t>pre kontrolu poskytnutej náhrady za služby všeobecného hospodárskeho záujmu</w:t>
      </w:r>
    </w:p>
    <w:tbl>
      <w:tblPr>
        <w:tblW w:w="9209" w:type="dxa"/>
        <w:tblInd w:w="279" w:type="dxa"/>
        <w:tblCellMar>
          <w:left w:w="70" w:type="dxa"/>
          <w:right w:w="70" w:type="dxa"/>
        </w:tblCellMar>
        <w:tblLook w:val="04A0" w:firstRow="1" w:lastRow="0" w:firstColumn="1" w:lastColumn="0" w:noHBand="0" w:noVBand="1"/>
      </w:tblPr>
      <w:tblGrid>
        <w:gridCol w:w="926"/>
        <w:gridCol w:w="6587"/>
        <w:gridCol w:w="1696"/>
      </w:tblGrid>
      <w:tr w:rsidR="002A2B45" w:rsidRPr="00443F17" w:rsidTr="006D7B0E">
        <w:trPr>
          <w:trHeight w:val="300"/>
        </w:trPr>
        <w:tc>
          <w:tcPr>
            <w:tcW w:w="7513"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2A2B45" w:rsidRPr="00443F17" w:rsidRDefault="002A2B45" w:rsidP="006D7B0E">
            <w:pPr>
              <w:ind w:left="142"/>
              <w:rPr>
                <w:rFonts w:ascii="Arial" w:hAnsi="Arial" w:cs="Arial"/>
                <w:b/>
                <w:bCs/>
                <w:color w:val="000000"/>
                <w:sz w:val="20"/>
                <w:szCs w:val="20"/>
                <w:lang w:eastAsia="sk-SK"/>
              </w:rPr>
            </w:pPr>
            <w:r w:rsidRPr="00443F17">
              <w:rPr>
                <w:rFonts w:ascii="Arial" w:hAnsi="Arial" w:cs="Arial"/>
                <w:b/>
                <w:bCs/>
                <w:color w:val="000000"/>
                <w:sz w:val="20"/>
                <w:szCs w:val="20"/>
                <w:lang w:eastAsia="sk-SK"/>
              </w:rPr>
              <w:t xml:space="preserve">Identifikácia žiadateľa </w:t>
            </w:r>
          </w:p>
        </w:tc>
        <w:tc>
          <w:tcPr>
            <w:tcW w:w="1696" w:type="dxa"/>
            <w:tcBorders>
              <w:top w:val="single" w:sz="4" w:space="0" w:color="auto"/>
              <w:left w:val="nil"/>
              <w:bottom w:val="single" w:sz="4" w:space="0" w:color="auto"/>
              <w:right w:val="single" w:sz="4" w:space="0" w:color="auto"/>
            </w:tcBorders>
            <w:shd w:val="clear" w:color="000000" w:fill="D9D9D9"/>
            <w:noWrap/>
            <w:vAlign w:val="center"/>
            <w:hideMark/>
          </w:tcPr>
          <w:p w:rsidR="002A2B45" w:rsidRPr="00443F17" w:rsidRDefault="002A2B45" w:rsidP="006D7B0E">
            <w:pPr>
              <w:ind w:left="142"/>
              <w:rPr>
                <w:rFonts w:ascii="Arial" w:hAnsi="Arial" w:cs="Arial"/>
                <w:b/>
                <w:bCs/>
                <w:color w:val="000000"/>
                <w:sz w:val="20"/>
                <w:szCs w:val="20"/>
                <w:lang w:eastAsia="sk-SK"/>
              </w:rPr>
            </w:pPr>
            <w:r w:rsidRPr="00443F17">
              <w:rPr>
                <w:rFonts w:ascii="Arial" w:hAnsi="Arial" w:cs="Arial"/>
                <w:b/>
                <w:bCs/>
                <w:color w:val="000000"/>
                <w:sz w:val="20"/>
                <w:szCs w:val="20"/>
                <w:lang w:eastAsia="sk-SK"/>
              </w:rPr>
              <w:t> </w:t>
            </w:r>
          </w:p>
        </w:tc>
      </w:tr>
      <w:tr w:rsidR="002A2B45" w:rsidRPr="00443F17" w:rsidTr="006D7B0E">
        <w:trPr>
          <w:trHeight w:val="300"/>
        </w:trPr>
        <w:tc>
          <w:tcPr>
            <w:tcW w:w="926" w:type="dxa"/>
            <w:tcBorders>
              <w:top w:val="nil"/>
              <w:left w:val="nil"/>
              <w:bottom w:val="nil"/>
              <w:right w:val="nil"/>
            </w:tcBorders>
            <w:shd w:val="clear" w:color="auto" w:fill="auto"/>
            <w:noWrap/>
            <w:vAlign w:val="center"/>
            <w:hideMark/>
          </w:tcPr>
          <w:p w:rsidR="002A2B45" w:rsidRPr="00443F17" w:rsidRDefault="002A2B45" w:rsidP="006D7B0E">
            <w:pPr>
              <w:ind w:left="142"/>
              <w:rPr>
                <w:rFonts w:ascii="Arial" w:hAnsi="Arial" w:cs="Arial"/>
                <w:b/>
                <w:bCs/>
                <w:color w:val="000000"/>
                <w:sz w:val="20"/>
                <w:szCs w:val="20"/>
                <w:lang w:eastAsia="sk-SK"/>
              </w:rPr>
            </w:pPr>
          </w:p>
        </w:tc>
        <w:tc>
          <w:tcPr>
            <w:tcW w:w="6587" w:type="dxa"/>
            <w:tcBorders>
              <w:top w:val="nil"/>
              <w:left w:val="nil"/>
              <w:bottom w:val="nil"/>
              <w:right w:val="nil"/>
            </w:tcBorders>
            <w:shd w:val="clear" w:color="auto" w:fill="auto"/>
            <w:noWrap/>
            <w:vAlign w:val="center"/>
            <w:hideMark/>
          </w:tcPr>
          <w:p w:rsidR="002A2B45" w:rsidRPr="00443F17" w:rsidRDefault="002A2B45" w:rsidP="006D7B0E">
            <w:pPr>
              <w:ind w:left="142"/>
              <w:rPr>
                <w:sz w:val="20"/>
                <w:szCs w:val="20"/>
                <w:lang w:eastAsia="sk-SK"/>
              </w:rPr>
            </w:pPr>
          </w:p>
        </w:tc>
        <w:tc>
          <w:tcPr>
            <w:tcW w:w="1696" w:type="dxa"/>
            <w:tcBorders>
              <w:top w:val="nil"/>
              <w:left w:val="nil"/>
              <w:bottom w:val="nil"/>
              <w:right w:val="nil"/>
            </w:tcBorders>
            <w:shd w:val="clear" w:color="auto" w:fill="auto"/>
            <w:noWrap/>
            <w:vAlign w:val="center"/>
            <w:hideMark/>
          </w:tcPr>
          <w:p w:rsidR="002A2B45" w:rsidRPr="00443F17" w:rsidRDefault="002A2B45" w:rsidP="006D7B0E">
            <w:pPr>
              <w:ind w:left="142"/>
              <w:rPr>
                <w:sz w:val="20"/>
                <w:szCs w:val="20"/>
                <w:lang w:eastAsia="sk-SK"/>
              </w:rPr>
            </w:pPr>
          </w:p>
        </w:tc>
      </w:tr>
      <w:tr w:rsidR="002A2B45" w:rsidRPr="00443F17" w:rsidTr="006D7B0E">
        <w:trPr>
          <w:trHeight w:val="300"/>
        </w:trPr>
        <w:tc>
          <w:tcPr>
            <w:tcW w:w="92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2B45" w:rsidRPr="00443F17" w:rsidRDefault="002A2B45" w:rsidP="006D7B0E">
            <w:pPr>
              <w:ind w:left="142"/>
              <w:rPr>
                <w:rFonts w:ascii="Arial" w:hAnsi="Arial" w:cs="Arial"/>
                <w:color w:val="000000"/>
                <w:sz w:val="20"/>
                <w:szCs w:val="20"/>
                <w:lang w:eastAsia="sk-SK"/>
              </w:rPr>
            </w:pPr>
            <w:r w:rsidRPr="00443F17">
              <w:rPr>
                <w:rFonts w:ascii="Arial" w:hAnsi="Arial" w:cs="Arial"/>
                <w:color w:val="000000"/>
                <w:sz w:val="20"/>
                <w:szCs w:val="20"/>
                <w:lang w:eastAsia="sk-SK"/>
              </w:rPr>
              <w:t xml:space="preserve">Názov žiadateľa/prijímateľa: </w:t>
            </w:r>
          </w:p>
        </w:tc>
      </w:tr>
      <w:tr w:rsidR="002A2B45" w:rsidRPr="00443F17" w:rsidTr="006D7B0E">
        <w:trPr>
          <w:trHeight w:val="300"/>
        </w:trPr>
        <w:tc>
          <w:tcPr>
            <w:tcW w:w="92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2B45" w:rsidRPr="00443F17" w:rsidRDefault="002A2B45" w:rsidP="006D7B0E">
            <w:pPr>
              <w:ind w:left="142"/>
              <w:rPr>
                <w:rFonts w:ascii="Arial" w:hAnsi="Arial" w:cs="Arial"/>
                <w:color w:val="000000"/>
                <w:sz w:val="20"/>
                <w:szCs w:val="20"/>
                <w:lang w:eastAsia="sk-SK"/>
              </w:rPr>
            </w:pPr>
            <w:r w:rsidRPr="00443F17">
              <w:rPr>
                <w:rFonts w:ascii="Arial" w:hAnsi="Arial" w:cs="Arial"/>
                <w:color w:val="000000"/>
                <w:sz w:val="20"/>
                <w:szCs w:val="20"/>
                <w:lang w:eastAsia="sk-SK"/>
              </w:rPr>
              <w:t xml:space="preserve">IČO: </w:t>
            </w:r>
          </w:p>
        </w:tc>
      </w:tr>
      <w:tr w:rsidR="002A2B45" w:rsidRPr="00443F17" w:rsidTr="006D7B0E">
        <w:trPr>
          <w:trHeight w:val="300"/>
        </w:trPr>
        <w:tc>
          <w:tcPr>
            <w:tcW w:w="926" w:type="dxa"/>
            <w:tcBorders>
              <w:top w:val="nil"/>
              <w:left w:val="nil"/>
              <w:bottom w:val="nil"/>
              <w:right w:val="nil"/>
            </w:tcBorders>
            <w:shd w:val="clear" w:color="auto" w:fill="auto"/>
            <w:noWrap/>
            <w:vAlign w:val="center"/>
            <w:hideMark/>
          </w:tcPr>
          <w:p w:rsidR="002A2B45" w:rsidRPr="00443F17" w:rsidRDefault="002A2B45" w:rsidP="006D7B0E">
            <w:pPr>
              <w:ind w:left="142"/>
              <w:rPr>
                <w:rFonts w:ascii="Arial" w:hAnsi="Arial" w:cs="Arial"/>
                <w:color w:val="000000"/>
                <w:sz w:val="20"/>
                <w:szCs w:val="20"/>
                <w:lang w:eastAsia="sk-SK"/>
              </w:rPr>
            </w:pPr>
          </w:p>
        </w:tc>
        <w:tc>
          <w:tcPr>
            <w:tcW w:w="6587" w:type="dxa"/>
            <w:tcBorders>
              <w:top w:val="nil"/>
              <w:left w:val="nil"/>
              <w:bottom w:val="nil"/>
              <w:right w:val="nil"/>
            </w:tcBorders>
            <w:shd w:val="clear" w:color="auto" w:fill="auto"/>
            <w:noWrap/>
            <w:vAlign w:val="center"/>
            <w:hideMark/>
          </w:tcPr>
          <w:p w:rsidR="002A2B45" w:rsidRPr="00443F17" w:rsidRDefault="002A2B45" w:rsidP="006D7B0E">
            <w:pPr>
              <w:ind w:left="142"/>
              <w:rPr>
                <w:sz w:val="20"/>
                <w:szCs w:val="20"/>
                <w:lang w:eastAsia="sk-SK"/>
              </w:rPr>
            </w:pPr>
          </w:p>
        </w:tc>
        <w:tc>
          <w:tcPr>
            <w:tcW w:w="1696" w:type="dxa"/>
            <w:tcBorders>
              <w:top w:val="nil"/>
              <w:left w:val="nil"/>
              <w:bottom w:val="nil"/>
              <w:right w:val="nil"/>
            </w:tcBorders>
            <w:shd w:val="clear" w:color="auto" w:fill="auto"/>
            <w:noWrap/>
            <w:vAlign w:val="center"/>
            <w:hideMark/>
          </w:tcPr>
          <w:p w:rsidR="002A2B45" w:rsidRPr="00443F17" w:rsidRDefault="002A2B45" w:rsidP="006D7B0E">
            <w:pPr>
              <w:ind w:left="142"/>
              <w:rPr>
                <w:sz w:val="20"/>
                <w:szCs w:val="20"/>
                <w:lang w:eastAsia="sk-SK"/>
              </w:rPr>
            </w:pPr>
          </w:p>
        </w:tc>
      </w:tr>
      <w:tr w:rsidR="002A2B45" w:rsidRPr="00443F17" w:rsidTr="006D7B0E">
        <w:trPr>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A2B45" w:rsidRPr="00443F17" w:rsidRDefault="002A2B45" w:rsidP="006D7B0E">
            <w:pPr>
              <w:ind w:left="142"/>
              <w:jc w:val="center"/>
              <w:rPr>
                <w:rFonts w:ascii="Arial" w:hAnsi="Arial" w:cs="Arial"/>
                <w:b/>
                <w:bCs/>
                <w:color w:val="000000"/>
                <w:sz w:val="20"/>
                <w:szCs w:val="20"/>
                <w:lang w:eastAsia="sk-SK"/>
              </w:rPr>
            </w:pPr>
            <w:r w:rsidRPr="00443F17">
              <w:rPr>
                <w:rFonts w:ascii="Arial" w:hAnsi="Arial" w:cs="Arial"/>
                <w:b/>
                <w:bCs/>
                <w:color w:val="000000"/>
                <w:sz w:val="20"/>
                <w:szCs w:val="20"/>
                <w:lang w:eastAsia="sk-SK"/>
              </w:rPr>
              <w:t xml:space="preserve">1. </w:t>
            </w:r>
            <w:r w:rsidRPr="00EA451C">
              <w:rPr>
                <w:rFonts w:ascii="Arial" w:hAnsi="Arial" w:cs="Arial"/>
                <w:b/>
                <w:bCs/>
                <w:color w:val="000000"/>
                <w:spacing w:val="40"/>
                <w:sz w:val="20"/>
                <w:szCs w:val="20"/>
                <w:lang w:eastAsia="sk-SK"/>
              </w:rPr>
              <w:t>NÁKLADY / VÝDAVKY</w:t>
            </w:r>
          </w:p>
        </w:tc>
        <w:tc>
          <w:tcPr>
            <w:tcW w:w="1696" w:type="dxa"/>
            <w:tcBorders>
              <w:top w:val="single" w:sz="4" w:space="0" w:color="auto"/>
              <w:left w:val="nil"/>
              <w:bottom w:val="single" w:sz="4" w:space="0" w:color="auto"/>
              <w:right w:val="single" w:sz="4" w:space="0" w:color="auto"/>
            </w:tcBorders>
            <w:shd w:val="clear" w:color="000000" w:fill="D9D9D9"/>
            <w:noWrap/>
            <w:vAlign w:val="center"/>
            <w:hideMark/>
          </w:tcPr>
          <w:p w:rsidR="002A2B45" w:rsidRPr="00443F17" w:rsidRDefault="002A2B45" w:rsidP="006D7B0E">
            <w:pPr>
              <w:ind w:left="142"/>
              <w:rPr>
                <w:rFonts w:ascii="Arial" w:hAnsi="Arial" w:cs="Arial"/>
                <w:b/>
                <w:bCs/>
                <w:color w:val="000000"/>
                <w:sz w:val="20"/>
                <w:szCs w:val="20"/>
                <w:lang w:eastAsia="sk-SK"/>
              </w:rPr>
            </w:pPr>
            <w:r w:rsidRPr="00443F17">
              <w:rPr>
                <w:rFonts w:ascii="Arial" w:hAnsi="Arial" w:cs="Arial"/>
                <w:b/>
                <w:bCs/>
                <w:color w:val="000000"/>
                <w:sz w:val="20"/>
                <w:szCs w:val="20"/>
                <w:lang w:eastAsia="sk-SK"/>
              </w:rPr>
              <w:t xml:space="preserve">Suma v EUR </w:t>
            </w:r>
          </w:p>
        </w:tc>
      </w:tr>
      <w:tr w:rsidR="002A2B45" w:rsidRPr="00443F17" w:rsidTr="006D7B0E">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2B45" w:rsidRPr="00443F17" w:rsidRDefault="002A2B45" w:rsidP="006D7B0E">
            <w:pPr>
              <w:ind w:left="142"/>
              <w:rPr>
                <w:rFonts w:ascii="Arial" w:hAnsi="Arial" w:cs="Arial"/>
                <w:b/>
                <w:bCs/>
                <w:color w:val="000000"/>
                <w:sz w:val="20"/>
                <w:szCs w:val="20"/>
                <w:lang w:eastAsia="sk-SK"/>
              </w:rPr>
            </w:pPr>
            <w:r>
              <w:rPr>
                <w:rFonts w:ascii="Arial" w:hAnsi="Arial" w:cs="Arial"/>
                <w:b/>
                <w:bCs/>
                <w:color w:val="000000"/>
                <w:sz w:val="20"/>
                <w:szCs w:val="20"/>
                <w:lang w:eastAsia="sk-SK"/>
              </w:rPr>
              <w:t>N</w:t>
            </w:r>
            <w:r w:rsidRPr="00443F17">
              <w:rPr>
                <w:rFonts w:ascii="Arial" w:hAnsi="Arial" w:cs="Arial"/>
                <w:b/>
                <w:bCs/>
                <w:color w:val="000000"/>
                <w:sz w:val="20"/>
                <w:szCs w:val="20"/>
                <w:lang w:eastAsia="sk-SK"/>
              </w:rPr>
              <w:t>áklady na činnosti SVHZ</w:t>
            </w:r>
          </w:p>
        </w:tc>
        <w:tc>
          <w:tcPr>
            <w:tcW w:w="1696" w:type="dxa"/>
            <w:tcBorders>
              <w:top w:val="nil"/>
              <w:left w:val="nil"/>
              <w:bottom w:val="single" w:sz="4" w:space="0" w:color="auto"/>
              <w:right w:val="single" w:sz="4" w:space="0" w:color="auto"/>
            </w:tcBorders>
            <w:shd w:val="clear" w:color="auto" w:fill="auto"/>
            <w:noWrap/>
            <w:vAlign w:val="center"/>
            <w:hideMark/>
          </w:tcPr>
          <w:p w:rsidR="002A2B45" w:rsidRPr="00443F17" w:rsidRDefault="002A2B45" w:rsidP="006D7B0E">
            <w:pPr>
              <w:ind w:left="142"/>
              <w:jc w:val="right"/>
              <w:rPr>
                <w:rFonts w:ascii="Arial" w:hAnsi="Arial" w:cs="Arial"/>
                <w:b/>
                <w:bCs/>
                <w:color w:val="000000"/>
                <w:sz w:val="20"/>
                <w:szCs w:val="20"/>
                <w:lang w:eastAsia="sk-SK"/>
              </w:rPr>
            </w:pPr>
          </w:p>
        </w:tc>
      </w:tr>
      <w:tr w:rsidR="002A2B45" w:rsidRPr="00443F17" w:rsidTr="006D7B0E">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A2B45" w:rsidRPr="00443F17" w:rsidRDefault="002A2B45" w:rsidP="006D7B0E">
            <w:pPr>
              <w:ind w:left="142"/>
              <w:rPr>
                <w:rFonts w:ascii="Arial" w:hAnsi="Arial" w:cs="Arial"/>
                <w:b/>
                <w:bCs/>
                <w:color w:val="000000"/>
                <w:sz w:val="20"/>
                <w:szCs w:val="20"/>
                <w:lang w:eastAsia="sk-SK"/>
              </w:rPr>
            </w:pPr>
            <w:r>
              <w:rPr>
                <w:rFonts w:ascii="Arial" w:hAnsi="Arial" w:cs="Arial"/>
                <w:b/>
                <w:bCs/>
                <w:color w:val="000000"/>
                <w:sz w:val="20"/>
                <w:szCs w:val="20"/>
                <w:lang w:eastAsia="sk-SK"/>
              </w:rPr>
              <w:t>N</w:t>
            </w:r>
            <w:r w:rsidRPr="00443F17">
              <w:rPr>
                <w:rFonts w:ascii="Arial" w:hAnsi="Arial" w:cs="Arial"/>
                <w:b/>
                <w:bCs/>
                <w:color w:val="000000"/>
                <w:sz w:val="20"/>
                <w:szCs w:val="20"/>
                <w:lang w:eastAsia="sk-SK"/>
              </w:rPr>
              <w:t xml:space="preserve">áklady na činnosti okrem SVHZ </w:t>
            </w:r>
          </w:p>
        </w:tc>
        <w:tc>
          <w:tcPr>
            <w:tcW w:w="1696" w:type="dxa"/>
            <w:tcBorders>
              <w:top w:val="nil"/>
              <w:left w:val="nil"/>
              <w:bottom w:val="single" w:sz="4" w:space="0" w:color="auto"/>
              <w:right w:val="single" w:sz="4" w:space="0" w:color="auto"/>
            </w:tcBorders>
            <w:shd w:val="clear" w:color="auto" w:fill="auto"/>
            <w:noWrap/>
            <w:vAlign w:val="center"/>
          </w:tcPr>
          <w:p w:rsidR="002A2B45" w:rsidRPr="00443F17" w:rsidRDefault="002A2B45" w:rsidP="006D7B0E">
            <w:pPr>
              <w:ind w:left="142"/>
              <w:jc w:val="right"/>
              <w:rPr>
                <w:rFonts w:ascii="Arial" w:hAnsi="Arial" w:cs="Arial"/>
                <w:b/>
                <w:bCs/>
                <w:color w:val="000000"/>
                <w:sz w:val="20"/>
                <w:szCs w:val="20"/>
                <w:lang w:eastAsia="sk-SK"/>
              </w:rPr>
            </w:pPr>
          </w:p>
        </w:tc>
      </w:tr>
      <w:tr w:rsidR="002A2B45" w:rsidRPr="00443F17" w:rsidTr="006D7B0E">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2A2B45" w:rsidRPr="00443F17" w:rsidRDefault="002A2B45" w:rsidP="006D7B0E">
            <w:pPr>
              <w:ind w:left="142"/>
              <w:rPr>
                <w:rFonts w:ascii="Arial" w:hAnsi="Arial" w:cs="Arial"/>
                <w:b/>
                <w:bCs/>
                <w:color w:val="000000"/>
                <w:sz w:val="20"/>
                <w:szCs w:val="20"/>
                <w:lang w:eastAsia="sk-SK"/>
              </w:rPr>
            </w:pPr>
            <w:r w:rsidRPr="00443F17">
              <w:rPr>
                <w:rFonts w:ascii="Arial" w:hAnsi="Arial" w:cs="Arial"/>
                <w:b/>
                <w:bCs/>
                <w:color w:val="000000"/>
                <w:sz w:val="20"/>
                <w:szCs w:val="20"/>
                <w:lang w:eastAsia="sk-SK"/>
              </w:rPr>
              <w:t xml:space="preserve">NÁKLADY CELKOM (kontrola na účtovnú závierku) </w:t>
            </w:r>
          </w:p>
        </w:tc>
        <w:tc>
          <w:tcPr>
            <w:tcW w:w="1696" w:type="dxa"/>
            <w:tcBorders>
              <w:top w:val="nil"/>
              <w:left w:val="nil"/>
              <w:bottom w:val="single" w:sz="4" w:space="0" w:color="auto"/>
              <w:right w:val="single" w:sz="4" w:space="0" w:color="auto"/>
            </w:tcBorders>
            <w:shd w:val="clear" w:color="000000" w:fill="FFFFCC"/>
            <w:noWrap/>
            <w:vAlign w:val="center"/>
            <w:hideMark/>
          </w:tcPr>
          <w:p w:rsidR="002A2B45" w:rsidRPr="00443F17" w:rsidRDefault="002A2B45" w:rsidP="006D7B0E">
            <w:pPr>
              <w:ind w:left="142"/>
              <w:jc w:val="right"/>
              <w:rPr>
                <w:rFonts w:ascii="Arial" w:hAnsi="Arial" w:cs="Arial"/>
                <w:b/>
                <w:bCs/>
                <w:color w:val="000000"/>
                <w:sz w:val="18"/>
                <w:szCs w:val="18"/>
                <w:lang w:eastAsia="sk-SK"/>
              </w:rPr>
            </w:pPr>
            <w:r w:rsidRPr="00443F17">
              <w:rPr>
                <w:rFonts w:ascii="Arial" w:hAnsi="Arial" w:cs="Arial"/>
                <w:b/>
                <w:bCs/>
                <w:color w:val="000000"/>
                <w:sz w:val="18"/>
                <w:szCs w:val="18"/>
                <w:lang w:eastAsia="sk-SK"/>
              </w:rPr>
              <w:t>0</w:t>
            </w:r>
          </w:p>
        </w:tc>
      </w:tr>
      <w:tr w:rsidR="002A2B45" w:rsidRPr="00443F17" w:rsidTr="006D7B0E">
        <w:trPr>
          <w:trHeight w:val="300"/>
        </w:trPr>
        <w:tc>
          <w:tcPr>
            <w:tcW w:w="926" w:type="dxa"/>
            <w:tcBorders>
              <w:top w:val="nil"/>
              <w:left w:val="nil"/>
              <w:bottom w:val="nil"/>
              <w:right w:val="nil"/>
            </w:tcBorders>
            <w:shd w:val="clear" w:color="auto" w:fill="auto"/>
            <w:noWrap/>
            <w:vAlign w:val="center"/>
            <w:hideMark/>
          </w:tcPr>
          <w:p w:rsidR="002A2B45" w:rsidRPr="00443F17" w:rsidRDefault="002A2B45" w:rsidP="006D7B0E">
            <w:pPr>
              <w:ind w:left="142"/>
              <w:rPr>
                <w:sz w:val="20"/>
                <w:szCs w:val="20"/>
                <w:lang w:eastAsia="sk-SK"/>
              </w:rPr>
            </w:pPr>
          </w:p>
        </w:tc>
        <w:tc>
          <w:tcPr>
            <w:tcW w:w="6587" w:type="dxa"/>
            <w:tcBorders>
              <w:top w:val="nil"/>
              <w:left w:val="nil"/>
              <w:bottom w:val="nil"/>
              <w:right w:val="nil"/>
            </w:tcBorders>
            <w:shd w:val="clear" w:color="auto" w:fill="auto"/>
            <w:noWrap/>
            <w:vAlign w:val="bottom"/>
            <w:hideMark/>
          </w:tcPr>
          <w:p w:rsidR="002A2B45" w:rsidRPr="00443F17" w:rsidRDefault="002A2B45" w:rsidP="006D7B0E">
            <w:pPr>
              <w:ind w:left="142"/>
              <w:rPr>
                <w:sz w:val="20"/>
                <w:szCs w:val="20"/>
                <w:lang w:eastAsia="sk-SK"/>
              </w:rPr>
            </w:pPr>
          </w:p>
        </w:tc>
        <w:tc>
          <w:tcPr>
            <w:tcW w:w="1696" w:type="dxa"/>
            <w:tcBorders>
              <w:top w:val="nil"/>
              <w:left w:val="nil"/>
              <w:bottom w:val="single" w:sz="4" w:space="0" w:color="auto"/>
              <w:right w:val="nil"/>
            </w:tcBorders>
            <w:shd w:val="clear" w:color="auto" w:fill="auto"/>
            <w:noWrap/>
            <w:vAlign w:val="bottom"/>
            <w:hideMark/>
          </w:tcPr>
          <w:p w:rsidR="002A2B45" w:rsidRPr="00443F17" w:rsidRDefault="002A2B45" w:rsidP="006D7B0E">
            <w:pPr>
              <w:ind w:left="142"/>
              <w:jc w:val="right"/>
              <w:rPr>
                <w:sz w:val="20"/>
                <w:szCs w:val="20"/>
                <w:lang w:eastAsia="sk-SK"/>
              </w:rPr>
            </w:pPr>
          </w:p>
        </w:tc>
      </w:tr>
      <w:tr w:rsidR="002A2B45" w:rsidRPr="00443F17" w:rsidTr="006D7B0E">
        <w:trPr>
          <w:trHeight w:val="301"/>
        </w:trPr>
        <w:tc>
          <w:tcPr>
            <w:tcW w:w="7513" w:type="dxa"/>
            <w:gridSpan w:val="2"/>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2A2B45" w:rsidRPr="00443F17" w:rsidRDefault="002A2B45" w:rsidP="006D7B0E">
            <w:pPr>
              <w:ind w:left="142"/>
              <w:jc w:val="center"/>
              <w:rPr>
                <w:rFonts w:ascii="Arial" w:hAnsi="Arial" w:cs="Arial"/>
                <w:b/>
                <w:bCs/>
                <w:color w:val="000000"/>
                <w:sz w:val="20"/>
                <w:szCs w:val="20"/>
                <w:lang w:eastAsia="sk-SK"/>
              </w:rPr>
            </w:pPr>
            <w:r w:rsidRPr="00443F17">
              <w:rPr>
                <w:rFonts w:ascii="Arial" w:hAnsi="Arial" w:cs="Arial"/>
                <w:b/>
                <w:bCs/>
                <w:color w:val="000000"/>
                <w:sz w:val="20"/>
                <w:szCs w:val="20"/>
                <w:lang w:eastAsia="sk-SK"/>
              </w:rPr>
              <w:t xml:space="preserve">2. </w:t>
            </w:r>
            <w:r w:rsidRPr="00EA451C">
              <w:rPr>
                <w:rFonts w:ascii="Arial" w:hAnsi="Arial" w:cs="Arial"/>
                <w:b/>
                <w:bCs/>
                <w:color w:val="000000"/>
                <w:spacing w:val="40"/>
                <w:sz w:val="20"/>
                <w:szCs w:val="20"/>
                <w:lang w:eastAsia="sk-SK"/>
              </w:rPr>
              <w:t>VÝNOSY / PRÍJMY</w:t>
            </w:r>
          </w:p>
        </w:tc>
        <w:tc>
          <w:tcPr>
            <w:tcW w:w="1696" w:type="dxa"/>
            <w:tcBorders>
              <w:top w:val="single" w:sz="4" w:space="0" w:color="auto"/>
              <w:left w:val="nil"/>
              <w:bottom w:val="single" w:sz="4" w:space="0" w:color="auto"/>
              <w:right w:val="single" w:sz="4" w:space="0" w:color="auto"/>
            </w:tcBorders>
            <w:shd w:val="clear" w:color="000000" w:fill="D9D9D9"/>
            <w:noWrap/>
            <w:vAlign w:val="center"/>
            <w:hideMark/>
          </w:tcPr>
          <w:p w:rsidR="002A2B45" w:rsidRPr="00443F17" w:rsidRDefault="002A2B45" w:rsidP="006D7B0E">
            <w:pPr>
              <w:ind w:left="142"/>
              <w:rPr>
                <w:rFonts w:ascii="Arial" w:hAnsi="Arial" w:cs="Arial"/>
                <w:b/>
                <w:bCs/>
                <w:color w:val="000000"/>
                <w:sz w:val="20"/>
                <w:szCs w:val="20"/>
                <w:lang w:eastAsia="sk-SK"/>
              </w:rPr>
            </w:pPr>
            <w:r w:rsidRPr="00443F17">
              <w:rPr>
                <w:rFonts w:ascii="Arial" w:hAnsi="Arial" w:cs="Arial"/>
                <w:b/>
                <w:bCs/>
                <w:color w:val="000000"/>
                <w:sz w:val="20"/>
                <w:szCs w:val="20"/>
                <w:lang w:eastAsia="sk-SK"/>
              </w:rPr>
              <w:t>Suma v EUR </w:t>
            </w:r>
          </w:p>
        </w:tc>
      </w:tr>
      <w:tr w:rsidR="002A2B45" w:rsidRPr="00443F17" w:rsidTr="006D7B0E">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2B45" w:rsidRPr="00443F17" w:rsidRDefault="002A2B45" w:rsidP="006D7B0E">
            <w:pPr>
              <w:ind w:left="142"/>
              <w:rPr>
                <w:rFonts w:ascii="Arial" w:hAnsi="Arial" w:cs="Arial"/>
                <w:b/>
                <w:bCs/>
                <w:color w:val="000000"/>
                <w:sz w:val="20"/>
                <w:szCs w:val="20"/>
                <w:lang w:eastAsia="sk-SK"/>
              </w:rPr>
            </w:pPr>
            <w:r>
              <w:rPr>
                <w:rFonts w:ascii="Arial" w:hAnsi="Arial" w:cs="Arial"/>
                <w:b/>
                <w:bCs/>
                <w:color w:val="000000"/>
                <w:sz w:val="20"/>
                <w:szCs w:val="20"/>
                <w:lang w:eastAsia="sk-SK"/>
              </w:rPr>
              <w:t>V</w:t>
            </w:r>
            <w:r w:rsidRPr="00443F17">
              <w:rPr>
                <w:rFonts w:ascii="Arial" w:hAnsi="Arial" w:cs="Arial"/>
                <w:b/>
                <w:bCs/>
                <w:color w:val="000000"/>
                <w:sz w:val="20"/>
                <w:szCs w:val="20"/>
                <w:lang w:eastAsia="sk-SK"/>
              </w:rPr>
              <w:t xml:space="preserve">ýnosy/príjmy </w:t>
            </w:r>
            <w:r>
              <w:rPr>
                <w:rFonts w:ascii="Arial" w:hAnsi="Arial" w:cs="Arial"/>
                <w:b/>
                <w:bCs/>
                <w:color w:val="000000"/>
                <w:sz w:val="20"/>
                <w:szCs w:val="20"/>
                <w:lang w:eastAsia="sk-SK"/>
              </w:rPr>
              <w:t>z činnosti</w:t>
            </w:r>
            <w:r w:rsidRPr="00443F17">
              <w:rPr>
                <w:rFonts w:ascii="Arial" w:hAnsi="Arial" w:cs="Arial"/>
                <w:b/>
                <w:bCs/>
                <w:color w:val="000000"/>
                <w:sz w:val="20"/>
                <w:szCs w:val="20"/>
                <w:lang w:eastAsia="sk-SK"/>
              </w:rPr>
              <w:t xml:space="preserve"> SVHZ</w:t>
            </w:r>
          </w:p>
        </w:tc>
        <w:tc>
          <w:tcPr>
            <w:tcW w:w="1696" w:type="dxa"/>
            <w:tcBorders>
              <w:top w:val="nil"/>
              <w:left w:val="nil"/>
              <w:bottom w:val="single" w:sz="4" w:space="0" w:color="auto"/>
              <w:right w:val="single" w:sz="4" w:space="0" w:color="auto"/>
            </w:tcBorders>
            <w:shd w:val="clear" w:color="auto" w:fill="auto"/>
            <w:noWrap/>
            <w:vAlign w:val="center"/>
            <w:hideMark/>
          </w:tcPr>
          <w:p w:rsidR="002A2B45" w:rsidRPr="00443F17" w:rsidRDefault="002A2B45" w:rsidP="006D7B0E">
            <w:pPr>
              <w:ind w:left="142"/>
              <w:jc w:val="right"/>
              <w:rPr>
                <w:rFonts w:ascii="Arial" w:hAnsi="Arial" w:cs="Arial"/>
                <w:b/>
                <w:bCs/>
                <w:color w:val="000000"/>
                <w:sz w:val="20"/>
                <w:szCs w:val="20"/>
                <w:lang w:eastAsia="sk-SK"/>
              </w:rPr>
            </w:pPr>
          </w:p>
        </w:tc>
      </w:tr>
      <w:tr w:rsidR="002A2B45" w:rsidRPr="00443F17" w:rsidTr="006D7B0E">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A2B45" w:rsidRPr="00443F17" w:rsidRDefault="002A2B45" w:rsidP="006D7B0E">
            <w:pPr>
              <w:ind w:left="142"/>
              <w:rPr>
                <w:rFonts w:ascii="Arial" w:hAnsi="Arial" w:cs="Arial"/>
                <w:b/>
                <w:bCs/>
                <w:color w:val="000000"/>
                <w:sz w:val="20"/>
                <w:szCs w:val="20"/>
                <w:lang w:eastAsia="sk-SK"/>
              </w:rPr>
            </w:pPr>
            <w:r>
              <w:rPr>
                <w:rFonts w:ascii="Arial" w:hAnsi="Arial" w:cs="Arial"/>
                <w:b/>
                <w:bCs/>
                <w:color w:val="000000"/>
                <w:sz w:val="20"/>
                <w:szCs w:val="20"/>
                <w:lang w:eastAsia="sk-SK"/>
              </w:rPr>
              <w:t>V</w:t>
            </w:r>
            <w:r w:rsidRPr="00443F17">
              <w:rPr>
                <w:rFonts w:ascii="Arial" w:hAnsi="Arial" w:cs="Arial"/>
                <w:b/>
                <w:bCs/>
                <w:color w:val="000000"/>
                <w:sz w:val="20"/>
                <w:szCs w:val="20"/>
                <w:lang w:eastAsia="sk-SK"/>
              </w:rPr>
              <w:t xml:space="preserve">ýnosy/príjmy </w:t>
            </w:r>
            <w:r>
              <w:rPr>
                <w:rFonts w:ascii="Arial" w:hAnsi="Arial" w:cs="Arial"/>
                <w:b/>
                <w:bCs/>
                <w:color w:val="000000"/>
                <w:sz w:val="20"/>
                <w:szCs w:val="20"/>
                <w:lang w:eastAsia="sk-SK"/>
              </w:rPr>
              <w:t xml:space="preserve">z činnosti </w:t>
            </w:r>
            <w:r w:rsidRPr="00443F17">
              <w:rPr>
                <w:rFonts w:ascii="Arial" w:hAnsi="Arial" w:cs="Arial"/>
                <w:b/>
                <w:bCs/>
                <w:color w:val="000000"/>
                <w:sz w:val="20"/>
                <w:szCs w:val="20"/>
                <w:lang w:eastAsia="sk-SK"/>
              </w:rPr>
              <w:t xml:space="preserve">okrem SVHZ </w:t>
            </w:r>
          </w:p>
        </w:tc>
        <w:tc>
          <w:tcPr>
            <w:tcW w:w="1696" w:type="dxa"/>
            <w:tcBorders>
              <w:top w:val="nil"/>
              <w:left w:val="nil"/>
              <w:bottom w:val="single" w:sz="4" w:space="0" w:color="auto"/>
              <w:right w:val="single" w:sz="4" w:space="0" w:color="auto"/>
            </w:tcBorders>
            <w:shd w:val="clear" w:color="auto" w:fill="auto"/>
            <w:noWrap/>
            <w:vAlign w:val="center"/>
          </w:tcPr>
          <w:p w:rsidR="002A2B45" w:rsidRPr="00EA451C" w:rsidRDefault="002A2B45" w:rsidP="006D7B0E">
            <w:pPr>
              <w:ind w:left="142"/>
              <w:jc w:val="right"/>
              <w:rPr>
                <w:rFonts w:ascii="Arial" w:hAnsi="Arial" w:cs="Arial"/>
                <w:b/>
                <w:bCs/>
                <w:sz w:val="20"/>
                <w:szCs w:val="20"/>
                <w:lang w:eastAsia="sk-SK"/>
              </w:rPr>
            </w:pPr>
          </w:p>
        </w:tc>
      </w:tr>
      <w:tr w:rsidR="002A2B45" w:rsidRPr="00443F17" w:rsidTr="006D7B0E">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2A2B45" w:rsidRPr="00EA451C" w:rsidRDefault="002A2B45" w:rsidP="006D7B0E">
            <w:pPr>
              <w:ind w:left="142"/>
              <w:rPr>
                <w:rFonts w:ascii="Arial" w:hAnsi="Arial" w:cs="Arial"/>
                <w:b/>
                <w:bCs/>
                <w:sz w:val="20"/>
                <w:szCs w:val="20"/>
                <w:lang w:eastAsia="sk-SK"/>
              </w:rPr>
            </w:pPr>
            <w:r w:rsidRPr="00EA451C">
              <w:rPr>
                <w:rFonts w:ascii="Arial" w:hAnsi="Arial" w:cs="Arial"/>
                <w:b/>
                <w:bCs/>
                <w:sz w:val="20"/>
                <w:szCs w:val="20"/>
                <w:lang w:eastAsia="sk-SK"/>
              </w:rPr>
              <w:t xml:space="preserve">VÝNOSY/PRÍJMY CELKOM (kontrola na účtovnú závierku) </w:t>
            </w:r>
          </w:p>
        </w:tc>
        <w:tc>
          <w:tcPr>
            <w:tcW w:w="1696" w:type="dxa"/>
            <w:tcBorders>
              <w:top w:val="nil"/>
              <w:left w:val="nil"/>
              <w:bottom w:val="single" w:sz="4" w:space="0" w:color="auto"/>
              <w:right w:val="single" w:sz="4" w:space="0" w:color="auto"/>
            </w:tcBorders>
            <w:shd w:val="clear" w:color="000000" w:fill="FFFFCC"/>
            <w:noWrap/>
            <w:vAlign w:val="center"/>
            <w:hideMark/>
          </w:tcPr>
          <w:p w:rsidR="002A2B45" w:rsidRPr="00EA451C" w:rsidRDefault="002A2B45" w:rsidP="006D7B0E">
            <w:pPr>
              <w:ind w:left="142"/>
              <w:jc w:val="right"/>
              <w:rPr>
                <w:rFonts w:ascii="Arial" w:hAnsi="Arial" w:cs="Arial"/>
                <w:b/>
                <w:bCs/>
                <w:sz w:val="18"/>
                <w:szCs w:val="18"/>
                <w:lang w:eastAsia="sk-SK"/>
              </w:rPr>
            </w:pPr>
            <w:r w:rsidRPr="00EA451C">
              <w:rPr>
                <w:rFonts w:ascii="Arial" w:hAnsi="Arial" w:cs="Arial"/>
                <w:b/>
                <w:bCs/>
                <w:sz w:val="18"/>
                <w:szCs w:val="18"/>
                <w:lang w:eastAsia="sk-SK"/>
              </w:rPr>
              <w:t>0</w:t>
            </w:r>
          </w:p>
        </w:tc>
      </w:tr>
      <w:tr w:rsidR="002A2B45" w:rsidRPr="001C637B" w:rsidTr="006D7B0E">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A2B45" w:rsidRPr="00EA451C" w:rsidRDefault="002A2B45" w:rsidP="006D7B0E">
            <w:pPr>
              <w:ind w:left="142"/>
              <w:rPr>
                <w:sz w:val="20"/>
                <w:szCs w:val="20"/>
                <w:lang w:eastAsia="sk-SK"/>
              </w:rPr>
            </w:pPr>
          </w:p>
        </w:tc>
        <w:tc>
          <w:tcPr>
            <w:tcW w:w="1696" w:type="dxa"/>
            <w:tcBorders>
              <w:top w:val="nil"/>
              <w:left w:val="nil"/>
              <w:bottom w:val="single" w:sz="4" w:space="0" w:color="auto"/>
              <w:right w:val="single" w:sz="4" w:space="0" w:color="auto"/>
            </w:tcBorders>
            <w:shd w:val="clear" w:color="auto" w:fill="auto"/>
            <w:noWrap/>
            <w:vAlign w:val="center"/>
          </w:tcPr>
          <w:p w:rsidR="002A2B45" w:rsidRPr="00EA451C" w:rsidRDefault="002A2B45" w:rsidP="006D7B0E">
            <w:pPr>
              <w:ind w:left="142"/>
              <w:jc w:val="right"/>
              <w:rPr>
                <w:sz w:val="20"/>
                <w:szCs w:val="20"/>
                <w:lang w:eastAsia="sk-SK"/>
              </w:rPr>
            </w:pPr>
          </w:p>
        </w:tc>
      </w:tr>
      <w:tr w:rsidR="002A2B45" w:rsidRPr="001C637B" w:rsidTr="006D7B0E">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rsidR="002A2B45" w:rsidRPr="0073340A" w:rsidRDefault="002A2B45" w:rsidP="006D7B0E">
            <w:pPr>
              <w:ind w:left="142"/>
              <w:jc w:val="center"/>
              <w:rPr>
                <w:rFonts w:ascii="Arial" w:hAnsi="Arial" w:cs="Arial"/>
                <w:b/>
                <w:bCs/>
                <w:sz w:val="20"/>
                <w:szCs w:val="20"/>
                <w:lang w:eastAsia="sk-SK"/>
              </w:rPr>
            </w:pPr>
            <w:r w:rsidRPr="00EA451C">
              <w:rPr>
                <w:rFonts w:ascii="Arial" w:hAnsi="Arial" w:cs="Arial"/>
                <w:b/>
                <w:bCs/>
                <w:sz w:val="20"/>
                <w:szCs w:val="20"/>
                <w:lang w:eastAsia="sk-SK"/>
              </w:rPr>
              <w:t xml:space="preserve">3. </w:t>
            </w:r>
            <w:r w:rsidRPr="0073340A">
              <w:rPr>
                <w:rFonts w:ascii="Arial" w:hAnsi="Arial" w:cs="Arial"/>
                <w:b/>
                <w:bCs/>
                <w:spacing w:val="40"/>
                <w:sz w:val="20"/>
                <w:szCs w:val="20"/>
                <w:lang w:eastAsia="sk-SK"/>
              </w:rPr>
              <w:t>ZISK</w:t>
            </w:r>
          </w:p>
        </w:tc>
        <w:tc>
          <w:tcPr>
            <w:tcW w:w="1696" w:type="dxa"/>
            <w:tcBorders>
              <w:top w:val="nil"/>
              <w:left w:val="nil"/>
              <w:bottom w:val="single" w:sz="4" w:space="0" w:color="auto"/>
              <w:right w:val="single" w:sz="4" w:space="0" w:color="auto"/>
            </w:tcBorders>
            <w:shd w:val="clear" w:color="auto" w:fill="D9D9D9" w:themeFill="background1" w:themeFillShade="D9"/>
            <w:noWrap/>
            <w:vAlign w:val="center"/>
          </w:tcPr>
          <w:p w:rsidR="002A2B45" w:rsidRPr="0073340A" w:rsidRDefault="002A2B45" w:rsidP="006D7B0E">
            <w:pPr>
              <w:ind w:left="142"/>
              <w:rPr>
                <w:rFonts w:ascii="Arial" w:hAnsi="Arial" w:cs="Arial"/>
                <w:b/>
                <w:bCs/>
                <w:sz w:val="20"/>
                <w:szCs w:val="20"/>
                <w:lang w:eastAsia="sk-SK"/>
              </w:rPr>
            </w:pPr>
            <w:r w:rsidRPr="00443F17">
              <w:rPr>
                <w:rFonts w:ascii="Arial" w:hAnsi="Arial" w:cs="Arial"/>
                <w:b/>
                <w:bCs/>
                <w:color w:val="000000"/>
                <w:sz w:val="20"/>
                <w:szCs w:val="20"/>
                <w:lang w:eastAsia="sk-SK"/>
              </w:rPr>
              <w:t>Suma v EUR </w:t>
            </w:r>
          </w:p>
        </w:tc>
      </w:tr>
      <w:tr w:rsidR="002A2B45" w:rsidRPr="00153B04" w:rsidTr="006D7B0E">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A2B45" w:rsidRPr="0073340A" w:rsidRDefault="002A2B45" w:rsidP="006D7B0E">
            <w:pPr>
              <w:ind w:left="142"/>
              <w:rPr>
                <w:sz w:val="20"/>
                <w:szCs w:val="20"/>
                <w:lang w:eastAsia="sk-SK"/>
              </w:rPr>
            </w:pPr>
            <w:r w:rsidRPr="0073340A">
              <w:rPr>
                <w:rFonts w:ascii="Arial" w:hAnsi="Arial" w:cs="Arial"/>
                <w:b/>
                <w:bCs/>
                <w:sz w:val="20"/>
                <w:szCs w:val="20"/>
                <w:lang w:eastAsia="sk-SK"/>
              </w:rPr>
              <w:t>Zisk z činnosti SVHZ</w:t>
            </w:r>
          </w:p>
        </w:tc>
        <w:tc>
          <w:tcPr>
            <w:tcW w:w="1696" w:type="dxa"/>
            <w:tcBorders>
              <w:top w:val="nil"/>
              <w:left w:val="nil"/>
              <w:bottom w:val="single" w:sz="4" w:space="0" w:color="auto"/>
              <w:right w:val="single" w:sz="4" w:space="0" w:color="auto"/>
            </w:tcBorders>
            <w:shd w:val="clear" w:color="auto" w:fill="auto"/>
            <w:noWrap/>
            <w:vAlign w:val="center"/>
          </w:tcPr>
          <w:p w:rsidR="002A2B45" w:rsidRPr="0073340A" w:rsidRDefault="002A2B45" w:rsidP="006D7B0E">
            <w:pPr>
              <w:ind w:left="142"/>
              <w:jc w:val="right"/>
              <w:rPr>
                <w:sz w:val="20"/>
                <w:szCs w:val="20"/>
                <w:lang w:eastAsia="sk-SK"/>
              </w:rPr>
            </w:pPr>
          </w:p>
        </w:tc>
      </w:tr>
      <w:tr w:rsidR="002A2B45" w:rsidRPr="00153B04" w:rsidTr="006D7B0E">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A2B45" w:rsidRPr="00EA451C" w:rsidRDefault="002A2B45" w:rsidP="006D7B0E">
            <w:pPr>
              <w:ind w:left="142"/>
              <w:rPr>
                <w:sz w:val="20"/>
                <w:szCs w:val="20"/>
                <w:lang w:eastAsia="sk-SK"/>
              </w:rPr>
            </w:pPr>
            <w:r w:rsidRPr="00EA451C">
              <w:rPr>
                <w:rFonts w:ascii="Arial" w:hAnsi="Arial" w:cs="Arial"/>
                <w:b/>
                <w:bCs/>
                <w:sz w:val="20"/>
                <w:szCs w:val="20"/>
                <w:lang w:eastAsia="sk-SK"/>
              </w:rPr>
              <w:t xml:space="preserve">Zisk z činnosti okrem SVHZ </w:t>
            </w:r>
          </w:p>
        </w:tc>
        <w:tc>
          <w:tcPr>
            <w:tcW w:w="1696" w:type="dxa"/>
            <w:tcBorders>
              <w:top w:val="nil"/>
              <w:left w:val="nil"/>
              <w:bottom w:val="single" w:sz="4" w:space="0" w:color="auto"/>
              <w:right w:val="single" w:sz="4" w:space="0" w:color="auto"/>
            </w:tcBorders>
            <w:shd w:val="clear" w:color="auto" w:fill="auto"/>
            <w:noWrap/>
            <w:vAlign w:val="center"/>
          </w:tcPr>
          <w:p w:rsidR="002A2B45" w:rsidRPr="00EA451C" w:rsidRDefault="002A2B45" w:rsidP="006D7B0E">
            <w:pPr>
              <w:ind w:left="142"/>
              <w:jc w:val="right"/>
              <w:rPr>
                <w:sz w:val="20"/>
                <w:szCs w:val="20"/>
                <w:lang w:eastAsia="sk-SK"/>
              </w:rPr>
            </w:pPr>
          </w:p>
        </w:tc>
      </w:tr>
      <w:tr w:rsidR="002A2B45" w:rsidRPr="001C637B" w:rsidTr="006D7B0E">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auto" w:fill="FFFFCC"/>
            <w:noWrap/>
            <w:vAlign w:val="center"/>
          </w:tcPr>
          <w:p w:rsidR="002A2B45" w:rsidRPr="00EA451C" w:rsidRDefault="002A2B45" w:rsidP="006D7B0E">
            <w:pPr>
              <w:ind w:left="142"/>
              <w:rPr>
                <w:sz w:val="20"/>
                <w:szCs w:val="20"/>
                <w:lang w:eastAsia="sk-SK"/>
              </w:rPr>
            </w:pPr>
            <w:r w:rsidRPr="00EA451C">
              <w:rPr>
                <w:rFonts w:ascii="Arial" w:hAnsi="Arial" w:cs="Arial"/>
                <w:b/>
                <w:bCs/>
                <w:sz w:val="20"/>
                <w:szCs w:val="20"/>
                <w:lang w:eastAsia="sk-SK"/>
              </w:rPr>
              <w:t xml:space="preserve">ZISK CELKOM (kontrola na účtovnú závierku) </w:t>
            </w:r>
          </w:p>
        </w:tc>
        <w:tc>
          <w:tcPr>
            <w:tcW w:w="1696" w:type="dxa"/>
            <w:tcBorders>
              <w:top w:val="nil"/>
              <w:left w:val="nil"/>
              <w:bottom w:val="single" w:sz="4" w:space="0" w:color="auto"/>
              <w:right w:val="single" w:sz="4" w:space="0" w:color="auto"/>
            </w:tcBorders>
            <w:shd w:val="clear" w:color="auto" w:fill="FFFFCC"/>
            <w:noWrap/>
            <w:vAlign w:val="center"/>
          </w:tcPr>
          <w:p w:rsidR="002A2B45" w:rsidRPr="00EA451C" w:rsidRDefault="002A2B45" w:rsidP="006D7B0E">
            <w:pPr>
              <w:ind w:left="142"/>
              <w:jc w:val="right"/>
              <w:rPr>
                <w:sz w:val="20"/>
                <w:szCs w:val="20"/>
                <w:lang w:eastAsia="sk-SK"/>
              </w:rPr>
            </w:pPr>
            <w:r w:rsidRPr="00EA451C">
              <w:rPr>
                <w:rFonts w:ascii="Arial" w:hAnsi="Arial" w:cs="Arial"/>
                <w:b/>
                <w:bCs/>
                <w:sz w:val="18"/>
                <w:szCs w:val="18"/>
                <w:lang w:eastAsia="sk-SK"/>
              </w:rPr>
              <w:t>0</w:t>
            </w:r>
          </w:p>
        </w:tc>
      </w:tr>
      <w:tr w:rsidR="002A2B45" w:rsidRPr="001C637B" w:rsidTr="006D7B0E">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A2B45" w:rsidRPr="0073340A" w:rsidRDefault="002A2B45" w:rsidP="006D7B0E">
            <w:pPr>
              <w:ind w:left="142"/>
              <w:rPr>
                <w:sz w:val="20"/>
                <w:szCs w:val="20"/>
                <w:lang w:eastAsia="sk-SK"/>
              </w:rPr>
            </w:pPr>
          </w:p>
        </w:tc>
        <w:tc>
          <w:tcPr>
            <w:tcW w:w="1696" w:type="dxa"/>
            <w:tcBorders>
              <w:top w:val="nil"/>
              <w:left w:val="nil"/>
              <w:bottom w:val="single" w:sz="4" w:space="0" w:color="auto"/>
              <w:right w:val="single" w:sz="4" w:space="0" w:color="auto"/>
            </w:tcBorders>
            <w:shd w:val="clear" w:color="auto" w:fill="auto"/>
            <w:noWrap/>
            <w:vAlign w:val="center"/>
          </w:tcPr>
          <w:p w:rsidR="002A2B45" w:rsidRPr="0073340A" w:rsidRDefault="002A2B45" w:rsidP="006D7B0E">
            <w:pPr>
              <w:ind w:left="142"/>
              <w:jc w:val="right"/>
              <w:rPr>
                <w:sz w:val="20"/>
                <w:szCs w:val="20"/>
                <w:lang w:eastAsia="sk-SK"/>
              </w:rPr>
            </w:pPr>
          </w:p>
        </w:tc>
      </w:tr>
      <w:tr w:rsidR="002A2B45" w:rsidRPr="001C637B" w:rsidTr="006D7B0E">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rsidR="002A2B45" w:rsidRPr="0073340A" w:rsidRDefault="002A2B45" w:rsidP="006D7B0E">
            <w:pPr>
              <w:ind w:left="142"/>
              <w:jc w:val="center"/>
              <w:rPr>
                <w:rFonts w:ascii="Arial" w:hAnsi="Arial" w:cs="Arial"/>
                <w:b/>
                <w:bCs/>
                <w:sz w:val="20"/>
                <w:szCs w:val="20"/>
                <w:lang w:eastAsia="sk-SK"/>
              </w:rPr>
            </w:pPr>
            <w:r w:rsidRPr="0073340A">
              <w:rPr>
                <w:rFonts w:ascii="Arial" w:hAnsi="Arial" w:cs="Arial"/>
                <w:b/>
                <w:bCs/>
                <w:sz w:val="20"/>
                <w:szCs w:val="20"/>
                <w:lang w:eastAsia="sk-SK"/>
              </w:rPr>
              <w:t xml:space="preserve">4. </w:t>
            </w:r>
            <w:r w:rsidRPr="0073340A">
              <w:rPr>
                <w:rFonts w:ascii="Arial" w:hAnsi="Arial" w:cs="Arial"/>
                <w:b/>
                <w:bCs/>
                <w:caps/>
                <w:spacing w:val="40"/>
                <w:sz w:val="20"/>
                <w:szCs w:val="20"/>
                <w:lang w:eastAsia="sk-SK"/>
              </w:rPr>
              <w:t>Primeraný zisk za výkon SVHZ</w:t>
            </w:r>
          </w:p>
        </w:tc>
        <w:tc>
          <w:tcPr>
            <w:tcW w:w="1696" w:type="dxa"/>
            <w:tcBorders>
              <w:top w:val="nil"/>
              <w:left w:val="nil"/>
              <w:bottom w:val="single" w:sz="4" w:space="0" w:color="auto"/>
              <w:right w:val="single" w:sz="4" w:space="0" w:color="auto"/>
            </w:tcBorders>
            <w:shd w:val="clear" w:color="auto" w:fill="D9D9D9" w:themeFill="background1" w:themeFillShade="D9"/>
            <w:noWrap/>
            <w:vAlign w:val="center"/>
          </w:tcPr>
          <w:p w:rsidR="002A2B45" w:rsidRPr="00747A51" w:rsidRDefault="002A2B45" w:rsidP="006D7B0E">
            <w:pPr>
              <w:ind w:left="142"/>
              <w:rPr>
                <w:rFonts w:ascii="Arial" w:hAnsi="Arial" w:cs="Arial"/>
                <w:b/>
                <w:bCs/>
                <w:color w:val="000000"/>
                <w:sz w:val="20"/>
                <w:szCs w:val="20"/>
                <w:lang w:eastAsia="sk-SK"/>
              </w:rPr>
            </w:pPr>
            <w:r w:rsidRPr="00443F17">
              <w:rPr>
                <w:rFonts w:ascii="Arial" w:hAnsi="Arial" w:cs="Arial"/>
                <w:b/>
                <w:bCs/>
                <w:color w:val="000000"/>
                <w:sz w:val="20"/>
                <w:szCs w:val="20"/>
                <w:lang w:eastAsia="sk-SK"/>
              </w:rPr>
              <w:t>Suma v EUR</w:t>
            </w:r>
            <w:r>
              <w:rPr>
                <w:rFonts w:ascii="Arial" w:hAnsi="Arial" w:cs="Arial"/>
                <w:b/>
                <w:bCs/>
                <w:color w:val="000000"/>
                <w:sz w:val="20"/>
                <w:szCs w:val="20"/>
                <w:lang w:eastAsia="sk-SK"/>
              </w:rPr>
              <w:t xml:space="preserve"> alebo %</w:t>
            </w:r>
            <w:r w:rsidRPr="00443F17">
              <w:rPr>
                <w:rFonts w:ascii="Arial" w:hAnsi="Arial" w:cs="Arial"/>
                <w:b/>
                <w:bCs/>
                <w:color w:val="000000"/>
                <w:sz w:val="20"/>
                <w:szCs w:val="20"/>
                <w:lang w:eastAsia="sk-SK"/>
              </w:rPr>
              <w:t> </w:t>
            </w:r>
          </w:p>
        </w:tc>
      </w:tr>
      <w:tr w:rsidR="002A2B45" w:rsidRPr="001C637B" w:rsidTr="006D7B0E">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tcPr>
          <w:p w:rsidR="002A2B45" w:rsidRPr="00747A51" w:rsidRDefault="002A2B45" w:rsidP="006D7B0E">
            <w:pPr>
              <w:tabs>
                <w:tab w:val="left" w:pos="6586"/>
              </w:tabs>
              <w:ind w:left="142"/>
              <w:rPr>
                <w:rFonts w:ascii="Arial" w:hAnsi="Arial" w:cs="Arial"/>
                <w:b/>
                <w:bCs/>
                <w:sz w:val="20"/>
                <w:szCs w:val="20"/>
                <w:lang w:eastAsia="sk-SK"/>
              </w:rPr>
            </w:pPr>
            <w:r w:rsidRPr="0073340A">
              <w:rPr>
                <w:rFonts w:ascii="Arial" w:hAnsi="Arial" w:cs="Arial"/>
                <w:b/>
                <w:bCs/>
                <w:sz w:val="20"/>
                <w:szCs w:val="20"/>
                <w:lang w:eastAsia="sk-SK"/>
              </w:rPr>
              <w:t>Vlastný kapitál</w:t>
            </w:r>
            <w:r>
              <w:rPr>
                <w:rFonts w:ascii="Arial" w:hAnsi="Arial" w:cs="Arial"/>
                <w:b/>
                <w:bCs/>
                <w:sz w:val="20"/>
                <w:szCs w:val="20"/>
                <w:lang w:eastAsia="sk-SK"/>
              </w:rPr>
              <w:tab/>
              <w:t>(EUR)</w:t>
            </w:r>
          </w:p>
        </w:tc>
        <w:tc>
          <w:tcPr>
            <w:tcW w:w="1696" w:type="dxa"/>
            <w:tcBorders>
              <w:top w:val="nil"/>
              <w:left w:val="nil"/>
              <w:bottom w:val="single" w:sz="4" w:space="0" w:color="auto"/>
              <w:right w:val="single" w:sz="4" w:space="0" w:color="auto"/>
            </w:tcBorders>
            <w:shd w:val="clear" w:color="000000" w:fill="FFFFCC"/>
            <w:noWrap/>
            <w:vAlign w:val="center"/>
          </w:tcPr>
          <w:p w:rsidR="002A2B45" w:rsidRPr="0073340A" w:rsidRDefault="002A2B45" w:rsidP="006D7B0E">
            <w:pPr>
              <w:ind w:left="142"/>
              <w:jc w:val="right"/>
              <w:rPr>
                <w:rFonts w:ascii="Arial" w:hAnsi="Arial" w:cs="Arial"/>
                <w:b/>
                <w:bCs/>
                <w:sz w:val="18"/>
                <w:szCs w:val="18"/>
                <w:lang w:eastAsia="sk-SK"/>
              </w:rPr>
            </w:pPr>
          </w:p>
        </w:tc>
      </w:tr>
      <w:tr w:rsidR="002A2B45" w:rsidRPr="001C637B" w:rsidTr="006D7B0E">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tcPr>
          <w:p w:rsidR="002A2B45" w:rsidRPr="00153B04" w:rsidRDefault="002A2B45" w:rsidP="006D7B0E">
            <w:pPr>
              <w:tabs>
                <w:tab w:val="left" w:pos="6586"/>
              </w:tabs>
              <w:ind w:left="142"/>
              <w:rPr>
                <w:rFonts w:ascii="Arial" w:hAnsi="Arial" w:cs="Arial"/>
                <w:b/>
                <w:bCs/>
                <w:sz w:val="20"/>
                <w:szCs w:val="20"/>
                <w:lang w:eastAsia="sk-SK"/>
              </w:rPr>
            </w:pPr>
            <w:r w:rsidRPr="00153B04">
              <w:rPr>
                <w:rFonts w:ascii="Arial" w:hAnsi="Arial" w:cs="Arial"/>
                <w:b/>
                <w:bCs/>
                <w:sz w:val="20"/>
                <w:szCs w:val="20"/>
                <w:lang w:eastAsia="sk-SK"/>
              </w:rPr>
              <w:t>Swapová úroková sadzba</w:t>
            </w:r>
            <w:r>
              <w:rPr>
                <w:rFonts w:ascii="Arial" w:hAnsi="Arial" w:cs="Arial"/>
                <w:b/>
                <w:bCs/>
                <w:sz w:val="20"/>
                <w:szCs w:val="20"/>
                <w:lang w:eastAsia="sk-SK"/>
              </w:rPr>
              <w:tab/>
              <w:t>(%)</w:t>
            </w:r>
          </w:p>
        </w:tc>
        <w:tc>
          <w:tcPr>
            <w:tcW w:w="1696" w:type="dxa"/>
            <w:tcBorders>
              <w:top w:val="nil"/>
              <w:left w:val="nil"/>
              <w:bottom w:val="single" w:sz="4" w:space="0" w:color="auto"/>
              <w:right w:val="single" w:sz="4" w:space="0" w:color="auto"/>
            </w:tcBorders>
            <w:shd w:val="clear" w:color="000000" w:fill="FFFFCC"/>
            <w:noWrap/>
            <w:vAlign w:val="center"/>
          </w:tcPr>
          <w:p w:rsidR="002A2B45" w:rsidRPr="00153B04" w:rsidRDefault="002A2B45" w:rsidP="006D7B0E">
            <w:pPr>
              <w:ind w:left="142"/>
              <w:jc w:val="right"/>
              <w:rPr>
                <w:rFonts w:ascii="Arial" w:hAnsi="Arial" w:cs="Arial"/>
                <w:b/>
                <w:bCs/>
                <w:sz w:val="18"/>
                <w:szCs w:val="18"/>
                <w:lang w:eastAsia="sk-SK"/>
              </w:rPr>
            </w:pPr>
          </w:p>
        </w:tc>
      </w:tr>
      <w:tr w:rsidR="002A2B45" w:rsidRPr="001C637B" w:rsidTr="006D7B0E">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tcPr>
          <w:p w:rsidR="002A2B45" w:rsidRPr="0073340A" w:rsidRDefault="002A2B45" w:rsidP="006D7B0E">
            <w:pPr>
              <w:tabs>
                <w:tab w:val="left" w:pos="6586"/>
              </w:tabs>
              <w:ind w:left="142"/>
              <w:rPr>
                <w:rFonts w:ascii="Arial" w:hAnsi="Arial" w:cs="Arial"/>
                <w:b/>
                <w:bCs/>
                <w:sz w:val="20"/>
                <w:szCs w:val="20"/>
                <w:lang w:eastAsia="sk-SK"/>
              </w:rPr>
            </w:pPr>
            <w:r w:rsidRPr="0073340A">
              <w:rPr>
                <w:rFonts w:ascii="Arial" w:hAnsi="Arial" w:cs="Arial"/>
                <w:b/>
                <w:bCs/>
                <w:sz w:val="20"/>
                <w:szCs w:val="20"/>
                <w:lang w:eastAsia="sk-SK"/>
              </w:rPr>
              <w:t>Primeraný zisk</w:t>
            </w:r>
            <w:r>
              <w:rPr>
                <w:rFonts w:ascii="Arial" w:hAnsi="Arial" w:cs="Arial"/>
                <w:b/>
                <w:bCs/>
                <w:sz w:val="20"/>
                <w:szCs w:val="20"/>
                <w:lang w:eastAsia="sk-SK"/>
              </w:rPr>
              <w:tab/>
              <w:t>(EUR)</w:t>
            </w:r>
          </w:p>
          <w:p w:rsidR="002A2B45" w:rsidRPr="001B2A3E" w:rsidRDefault="002A2B45" w:rsidP="006D7B0E">
            <w:pPr>
              <w:tabs>
                <w:tab w:val="left" w:pos="6586"/>
              </w:tabs>
              <w:ind w:left="142"/>
              <w:rPr>
                <w:rFonts w:ascii="Arial" w:hAnsi="Arial" w:cs="Arial"/>
                <w:i/>
                <w:iCs/>
                <w:sz w:val="20"/>
                <w:szCs w:val="20"/>
                <w:lang w:eastAsia="sk-SK"/>
              </w:rPr>
            </w:pPr>
            <w:r w:rsidRPr="0073340A">
              <w:rPr>
                <w:rFonts w:ascii="Arial" w:hAnsi="Arial" w:cs="Arial"/>
                <w:i/>
                <w:iCs/>
                <w:sz w:val="20"/>
                <w:szCs w:val="20"/>
                <w:lang w:eastAsia="sk-SK"/>
              </w:rPr>
              <w:t>(Vlastný kapitál * (swapová úroková sadzba + 100 bázických bodov))</w:t>
            </w:r>
            <w:r>
              <w:rPr>
                <w:rFonts w:ascii="Arial" w:hAnsi="Arial" w:cs="Arial"/>
                <w:i/>
                <w:iCs/>
                <w:sz w:val="20"/>
                <w:szCs w:val="20"/>
                <w:lang w:eastAsia="sk-SK"/>
              </w:rPr>
              <w:br/>
              <w:t>(V prípade ak je hodnota vlastného kapitálu &lt;=0 EUR, primeraný zisk =0 EUR)</w:t>
            </w:r>
          </w:p>
        </w:tc>
        <w:tc>
          <w:tcPr>
            <w:tcW w:w="1696" w:type="dxa"/>
            <w:tcBorders>
              <w:top w:val="nil"/>
              <w:left w:val="nil"/>
              <w:bottom w:val="single" w:sz="4" w:space="0" w:color="auto"/>
              <w:right w:val="single" w:sz="4" w:space="0" w:color="auto"/>
            </w:tcBorders>
            <w:shd w:val="clear" w:color="000000" w:fill="FFFFCC"/>
            <w:noWrap/>
            <w:vAlign w:val="center"/>
          </w:tcPr>
          <w:p w:rsidR="002A2B45" w:rsidRPr="0073340A" w:rsidRDefault="002A2B45" w:rsidP="006D7B0E">
            <w:pPr>
              <w:ind w:left="142"/>
              <w:jc w:val="right"/>
              <w:rPr>
                <w:rFonts w:ascii="Arial" w:hAnsi="Arial" w:cs="Arial"/>
                <w:b/>
                <w:bCs/>
                <w:sz w:val="18"/>
                <w:szCs w:val="18"/>
                <w:lang w:eastAsia="sk-SK"/>
              </w:rPr>
            </w:pPr>
          </w:p>
        </w:tc>
      </w:tr>
      <w:tr w:rsidR="002A2B45" w:rsidRPr="00443F17" w:rsidTr="006D7B0E">
        <w:trPr>
          <w:trHeight w:val="300"/>
        </w:trPr>
        <w:tc>
          <w:tcPr>
            <w:tcW w:w="926" w:type="dxa"/>
            <w:tcBorders>
              <w:top w:val="nil"/>
              <w:left w:val="nil"/>
              <w:bottom w:val="nil"/>
              <w:right w:val="nil"/>
            </w:tcBorders>
            <w:shd w:val="clear" w:color="auto" w:fill="auto"/>
            <w:noWrap/>
            <w:vAlign w:val="center"/>
            <w:hideMark/>
          </w:tcPr>
          <w:p w:rsidR="002A2B45" w:rsidRPr="00443F17" w:rsidRDefault="002A2B45" w:rsidP="006D7B0E">
            <w:pPr>
              <w:ind w:left="142"/>
              <w:jc w:val="right"/>
              <w:rPr>
                <w:rFonts w:ascii="Arial" w:hAnsi="Arial" w:cs="Arial"/>
                <w:b/>
                <w:bCs/>
                <w:color w:val="000000"/>
                <w:sz w:val="18"/>
                <w:szCs w:val="18"/>
                <w:lang w:eastAsia="sk-SK"/>
              </w:rPr>
            </w:pPr>
          </w:p>
        </w:tc>
        <w:tc>
          <w:tcPr>
            <w:tcW w:w="6587" w:type="dxa"/>
            <w:tcBorders>
              <w:top w:val="nil"/>
              <w:left w:val="nil"/>
              <w:bottom w:val="nil"/>
              <w:right w:val="nil"/>
            </w:tcBorders>
            <w:shd w:val="clear" w:color="auto" w:fill="auto"/>
            <w:noWrap/>
            <w:vAlign w:val="center"/>
            <w:hideMark/>
          </w:tcPr>
          <w:p w:rsidR="002A2B45" w:rsidRPr="00443F17" w:rsidRDefault="002A2B45" w:rsidP="006D7B0E">
            <w:pPr>
              <w:ind w:left="142"/>
              <w:rPr>
                <w:sz w:val="20"/>
                <w:szCs w:val="20"/>
                <w:lang w:eastAsia="sk-SK"/>
              </w:rPr>
            </w:pPr>
          </w:p>
        </w:tc>
        <w:tc>
          <w:tcPr>
            <w:tcW w:w="1696" w:type="dxa"/>
            <w:tcBorders>
              <w:top w:val="nil"/>
              <w:left w:val="nil"/>
              <w:bottom w:val="single" w:sz="4" w:space="0" w:color="auto"/>
              <w:right w:val="nil"/>
            </w:tcBorders>
            <w:shd w:val="clear" w:color="auto" w:fill="auto"/>
            <w:noWrap/>
            <w:vAlign w:val="center"/>
            <w:hideMark/>
          </w:tcPr>
          <w:p w:rsidR="002A2B45" w:rsidRPr="00443F17" w:rsidRDefault="002A2B45" w:rsidP="006D7B0E">
            <w:pPr>
              <w:ind w:left="142"/>
              <w:jc w:val="right"/>
              <w:rPr>
                <w:sz w:val="20"/>
                <w:szCs w:val="20"/>
                <w:lang w:eastAsia="sk-SK"/>
              </w:rPr>
            </w:pPr>
          </w:p>
        </w:tc>
      </w:tr>
      <w:tr w:rsidR="002A2B45" w:rsidRPr="001C637B" w:rsidTr="006D7B0E">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rsidR="002A2B45" w:rsidRPr="0073340A" w:rsidRDefault="002A2B45" w:rsidP="006D7B0E">
            <w:pPr>
              <w:ind w:left="142"/>
              <w:jc w:val="center"/>
              <w:rPr>
                <w:rFonts w:ascii="Arial" w:hAnsi="Arial" w:cs="Arial"/>
                <w:b/>
                <w:bCs/>
                <w:sz w:val="20"/>
                <w:szCs w:val="20"/>
                <w:lang w:eastAsia="sk-SK"/>
              </w:rPr>
            </w:pPr>
            <w:r>
              <w:rPr>
                <w:rFonts w:ascii="Arial" w:hAnsi="Arial" w:cs="Arial"/>
                <w:b/>
                <w:bCs/>
                <w:sz w:val="20"/>
                <w:szCs w:val="20"/>
                <w:lang w:eastAsia="sk-SK"/>
              </w:rPr>
              <w:t>5</w:t>
            </w:r>
            <w:r w:rsidRPr="0073340A">
              <w:rPr>
                <w:rFonts w:ascii="Arial" w:hAnsi="Arial" w:cs="Arial"/>
                <w:b/>
                <w:bCs/>
                <w:sz w:val="20"/>
                <w:szCs w:val="20"/>
                <w:lang w:eastAsia="sk-SK"/>
              </w:rPr>
              <w:t xml:space="preserve">. </w:t>
            </w:r>
            <w:r>
              <w:rPr>
                <w:rFonts w:ascii="Arial" w:hAnsi="Arial" w:cs="Arial"/>
                <w:b/>
                <w:bCs/>
                <w:caps/>
                <w:spacing w:val="40"/>
                <w:sz w:val="20"/>
                <w:szCs w:val="20"/>
                <w:lang w:eastAsia="sk-SK"/>
              </w:rPr>
              <w:t>Zostatková hodnota</w:t>
            </w:r>
          </w:p>
        </w:tc>
        <w:tc>
          <w:tcPr>
            <w:tcW w:w="169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A2B45" w:rsidRPr="00747A51" w:rsidRDefault="002A2B45" w:rsidP="006D7B0E">
            <w:pPr>
              <w:ind w:left="142"/>
              <w:rPr>
                <w:rFonts w:ascii="Arial" w:hAnsi="Arial" w:cs="Arial"/>
                <w:b/>
                <w:bCs/>
                <w:color w:val="000000"/>
                <w:sz w:val="20"/>
                <w:szCs w:val="20"/>
                <w:lang w:eastAsia="sk-SK"/>
              </w:rPr>
            </w:pPr>
            <w:r w:rsidRPr="00443F17">
              <w:rPr>
                <w:rFonts w:ascii="Arial" w:hAnsi="Arial" w:cs="Arial"/>
                <w:b/>
                <w:bCs/>
                <w:color w:val="000000"/>
                <w:sz w:val="20"/>
                <w:szCs w:val="20"/>
                <w:lang w:eastAsia="sk-SK"/>
              </w:rPr>
              <w:t>Suma v EUR </w:t>
            </w:r>
          </w:p>
        </w:tc>
      </w:tr>
      <w:tr w:rsidR="002A2B45" w:rsidRPr="001C637B" w:rsidTr="006D7B0E">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tcPr>
          <w:p w:rsidR="002A2B45" w:rsidRDefault="002A2B45" w:rsidP="006D7B0E">
            <w:pPr>
              <w:ind w:left="142"/>
              <w:rPr>
                <w:rFonts w:ascii="Arial" w:hAnsi="Arial" w:cs="Arial"/>
                <w:b/>
                <w:bCs/>
                <w:sz w:val="20"/>
                <w:szCs w:val="20"/>
                <w:lang w:eastAsia="sk-SK"/>
              </w:rPr>
            </w:pPr>
            <w:r>
              <w:rPr>
                <w:rFonts w:ascii="Arial" w:hAnsi="Arial" w:cs="Arial"/>
                <w:b/>
                <w:bCs/>
                <w:sz w:val="20"/>
                <w:szCs w:val="20"/>
                <w:lang w:eastAsia="sk-SK"/>
              </w:rPr>
              <w:t xml:space="preserve">Zostatková hodnota majetku nadobudnutého </w:t>
            </w:r>
            <w:r w:rsidRPr="00096D61">
              <w:rPr>
                <w:rFonts w:ascii="Arial" w:hAnsi="Arial" w:cs="Arial"/>
                <w:b/>
                <w:bCs/>
                <w:sz w:val="20"/>
                <w:szCs w:val="20"/>
                <w:lang w:eastAsia="sk-SK"/>
              </w:rPr>
              <w:t xml:space="preserve">realizáciu </w:t>
            </w:r>
            <w:r>
              <w:rPr>
                <w:rFonts w:ascii="Arial" w:hAnsi="Arial" w:cs="Arial"/>
                <w:b/>
                <w:bCs/>
                <w:sz w:val="20"/>
                <w:szCs w:val="20"/>
                <w:lang w:eastAsia="sk-SK"/>
              </w:rPr>
              <w:t xml:space="preserve">podporenej </w:t>
            </w:r>
            <w:r w:rsidRPr="00096D61">
              <w:rPr>
                <w:rFonts w:ascii="Arial" w:hAnsi="Arial" w:cs="Arial"/>
                <w:b/>
                <w:bCs/>
                <w:sz w:val="20"/>
                <w:szCs w:val="20"/>
                <w:lang w:eastAsia="sk-SK"/>
              </w:rPr>
              <w:t>investície nevyhnutnej pre poskytovanie SVHZ</w:t>
            </w:r>
          </w:p>
          <w:p w:rsidR="002A2B45" w:rsidRPr="00747A51" w:rsidRDefault="002A2B45" w:rsidP="006D7B0E">
            <w:pPr>
              <w:ind w:left="142"/>
              <w:rPr>
                <w:rFonts w:ascii="Arial" w:hAnsi="Arial" w:cs="Arial"/>
                <w:i/>
                <w:iCs/>
                <w:sz w:val="20"/>
                <w:szCs w:val="20"/>
                <w:lang w:eastAsia="sk-SK"/>
              </w:rPr>
            </w:pPr>
            <w:r w:rsidRPr="00747A51">
              <w:rPr>
                <w:rFonts w:ascii="Arial" w:hAnsi="Arial" w:cs="Arial"/>
                <w:i/>
                <w:iCs/>
                <w:sz w:val="20"/>
                <w:szCs w:val="20"/>
                <w:lang w:eastAsia="sk-SK"/>
              </w:rPr>
              <w:t>(Vypĺňa sa len v prípade, že poverenie nebolo predĺžené</w:t>
            </w:r>
            <w:r>
              <w:rPr>
                <w:rFonts w:ascii="Arial" w:hAnsi="Arial" w:cs="Arial"/>
                <w:i/>
                <w:iCs/>
                <w:sz w:val="20"/>
                <w:szCs w:val="20"/>
                <w:lang w:eastAsia="sk-SK"/>
              </w:rPr>
              <w:t xml:space="preserve"> a zostatková hodnota majetku podľa daňových odpisov je nenulová</w:t>
            </w:r>
            <w:r w:rsidRPr="00747A51">
              <w:rPr>
                <w:rFonts w:ascii="Arial" w:hAnsi="Arial" w:cs="Arial"/>
                <w:i/>
                <w:iCs/>
                <w:sz w:val="20"/>
                <w:szCs w:val="20"/>
                <w:lang w:eastAsia="sk-SK"/>
              </w:rPr>
              <w:t>, v poslednom roku poverenia</w:t>
            </w:r>
            <w:r>
              <w:rPr>
                <w:rFonts w:ascii="Arial" w:hAnsi="Arial" w:cs="Arial"/>
                <w:i/>
                <w:iCs/>
                <w:sz w:val="20"/>
                <w:szCs w:val="20"/>
                <w:lang w:eastAsia="sk-SK"/>
              </w:rPr>
              <w:t>. V iných prípadoch sa nevypĺňa.</w:t>
            </w:r>
            <w:r w:rsidRPr="00747A51">
              <w:rPr>
                <w:rFonts w:ascii="Arial" w:hAnsi="Arial" w:cs="Arial"/>
                <w:i/>
                <w:iCs/>
                <w:sz w:val="20"/>
                <w:szCs w:val="20"/>
                <w:lang w:eastAsia="sk-SK"/>
              </w:rPr>
              <w:t>)</w:t>
            </w:r>
          </w:p>
        </w:tc>
        <w:tc>
          <w:tcPr>
            <w:tcW w:w="1696" w:type="dxa"/>
            <w:tcBorders>
              <w:top w:val="nil"/>
              <w:left w:val="nil"/>
              <w:bottom w:val="single" w:sz="4" w:space="0" w:color="auto"/>
              <w:right w:val="single" w:sz="4" w:space="0" w:color="auto"/>
            </w:tcBorders>
            <w:shd w:val="clear" w:color="000000" w:fill="FFFFCC"/>
            <w:noWrap/>
            <w:vAlign w:val="center"/>
          </w:tcPr>
          <w:p w:rsidR="002A2B45" w:rsidRPr="0073340A" w:rsidRDefault="002A2B45" w:rsidP="006D7B0E">
            <w:pPr>
              <w:ind w:left="142"/>
              <w:jc w:val="right"/>
              <w:rPr>
                <w:rFonts w:ascii="Arial" w:hAnsi="Arial" w:cs="Arial"/>
                <w:b/>
                <w:bCs/>
                <w:sz w:val="18"/>
                <w:szCs w:val="18"/>
                <w:lang w:eastAsia="sk-SK"/>
              </w:rPr>
            </w:pPr>
          </w:p>
        </w:tc>
      </w:tr>
      <w:tr w:rsidR="002A2B45" w:rsidRPr="00443F17" w:rsidTr="006D7B0E">
        <w:trPr>
          <w:trHeight w:val="300"/>
        </w:trPr>
        <w:tc>
          <w:tcPr>
            <w:tcW w:w="926" w:type="dxa"/>
            <w:tcBorders>
              <w:top w:val="nil"/>
              <w:left w:val="nil"/>
              <w:bottom w:val="nil"/>
              <w:right w:val="nil"/>
            </w:tcBorders>
            <w:shd w:val="clear" w:color="auto" w:fill="auto"/>
            <w:noWrap/>
            <w:vAlign w:val="center"/>
          </w:tcPr>
          <w:p w:rsidR="002A2B45" w:rsidRPr="00443F17" w:rsidRDefault="002A2B45" w:rsidP="006D7B0E">
            <w:pPr>
              <w:ind w:left="142"/>
              <w:jc w:val="right"/>
              <w:rPr>
                <w:rFonts w:ascii="Arial" w:hAnsi="Arial" w:cs="Arial"/>
                <w:b/>
                <w:bCs/>
                <w:color w:val="000000"/>
                <w:sz w:val="18"/>
                <w:szCs w:val="18"/>
                <w:lang w:eastAsia="sk-SK"/>
              </w:rPr>
            </w:pPr>
          </w:p>
        </w:tc>
        <w:tc>
          <w:tcPr>
            <w:tcW w:w="6587" w:type="dxa"/>
            <w:tcBorders>
              <w:top w:val="nil"/>
              <w:left w:val="nil"/>
              <w:bottom w:val="nil"/>
              <w:right w:val="nil"/>
            </w:tcBorders>
            <w:shd w:val="clear" w:color="auto" w:fill="auto"/>
            <w:noWrap/>
            <w:vAlign w:val="center"/>
          </w:tcPr>
          <w:p w:rsidR="002A2B45" w:rsidRPr="00443F17" w:rsidRDefault="002A2B45" w:rsidP="006D7B0E">
            <w:pPr>
              <w:ind w:left="142"/>
              <w:rPr>
                <w:sz w:val="20"/>
                <w:szCs w:val="20"/>
                <w:lang w:eastAsia="sk-SK"/>
              </w:rPr>
            </w:pPr>
          </w:p>
        </w:tc>
        <w:tc>
          <w:tcPr>
            <w:tcW w:w="1696" w:type="dxa"/>
            <w:tcBorders>
              <w:top w:val="nil"/>
              <w:left w:val="nil"/>
              <w:bottom w:val="nil"/>
              <w:right w:val="nil"/>
            </w:tcBorders>
            <w:shd w:val="clear" w:color="auto" w:fill="auto"/>
            <w:noWrap/>
            <w:vAlign w:val="center"/>
          </w:tcPr>
          <w:p w:rsidR="002A2B45" w:rsidRPr="00443F17" w:rsidRDefault="002A2B45" w:rsidP="006D7B0E">
            <w:pPr>
              <w:ind w:left="142"/>
              <w:jc w:val="right"/>
              <w:rPr>
                <w:sz w:val="20"/>
                <w:szCs w:val="20"/>
                <w:lang w:eastAsia="sk-SK"/>
              </w:rPr>
            </w:pPr>
          </w:p>
        </w:tc>
      </w:tr>
      <w:tr w:rsidR="002A2B45" w:rsidRPr="00443F17" w:rsidTr="006D7B0E">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000000" w:fill="DDEBF7"/>
            <w:noWrap/>
            <w:vAlign w:val="center"/>
            <w:hideMark/>
          </w:tcPr>
          <w:p w:rsidR="002A2B45" w:rsidRPr="00443F17" w:rsidRDefault="002A2B45" w:rsidP="006D7B0E">
            <w:pPr>
              <w:ind w:left="142"/>
              <w:rPr>
                <w:rFonts w:ascii="Arial" w:hAnsi="Arial" w:cs="Arial"/>
                <w:b/>
                <w:bCs/>
                <w:color w:val="000000"/>
                <w:lang w:eastAsia="sk-SK"/>
              </w:rPr>
            </w:pPr>
            <w:r w:rsidRPr="0073340A">
              <w:rPr>
                <w:rFonts w:ascii="Arial" w:hAnsi="Arial" w:cs="Arial"/>
                <w:b/>
                <w:bCs/>
                <w:color w:val="000000"/>
                <w:sz w:val="20"/>
                <w:szCs w:val="20"/>
                <w:lang w:eastAsia="sk-SK"/>
              </w:rPr>
              <w:t>Výška pokrytia nákladov za SVHZ a primeraného zisku</w:t>
            </w:r>
            <w:r w:rsidRPr="0073340A">
              <w:rPr>
                <w:rFonts w:ascii="Arial" w:hAnsi="Arial" w:cs="Arial"/>
                <w:b/>
                <w:bCs/>
                <w:sz w:val="20"/>
                <w:szCs w:val="20"/>
                <w:lang w:eastAsia="sk-SK"/>
              </w:rPr>
              <w:t xml:space="preserve"> </w:t>
            </w:r>
            <w:r w:rsidRPr="0073340A">
              <w:rPr>
                <w:rFonts w:ascii="Arial" w:hAnsi="Arial" w:cs="Arial"/>
                <w:b/>
                <w:bCs/>
                <w:color w:val="000000"/>
                <w:sz w:val="20"/>
                <w:szCs w:val="20"/>
                <w:lang w:eastAsia="sk-SK"/>
              </w:rPr>
              <w:t xml:space="preserve">/ nadmerná náhrada </w:t>
            </w:r>
          </w:p>
        </w:tc>
        <w:tc>
          <w:tcPr>
            <w:tcW w:w="1696" w:type="dxa"/>
            <w:tcBorders>
              <w:top w:val="single" w:sz="4" w:space="0" w:color="auto"/>
              <w:left w:val="nil"/>
              <w:bottom w:val="single" w:sz="4" w:space="0" w:color="auto"/>
              <w:right w:val="single" w:sz="4" w:space="0" w:color="auto"/>
            </w:tcBorders>
            <w:shd w:val="clear" w:color="000000" w:fill="DDEBF7"/>
            <w:noWrap/>
            <w:vAlign w:val="center"/>
            <w:hideMark/>
          </w:tcPr>
          <w:p w:rsidR="002A2B45" w:rsidRPr="00443F17" w:rsidRDefault="002A2B45" w:rsidP="006D7B0E">
            <w:pPr>
              <w:ind w:left="142"/>
              <w:jc w:val="right"/>
              <w:rPr>
                <w:rFonts w:ascii="Arial" w:hAnsi="Arial" w:cs="Arial"/>
                <w:b/>
                <w:bCs/>
                <w:color w:val="000000"/>
                <w:sz w:val="18"/>
                <w:szCs w:val="18"/>
                <w:lang w:eastAsia="sk-SK"/>
              </w:rPr>
            </w:pPr>
            <w:r w:rsidRPr="00443F17">
              <w:rPr>
                <w:rFonts w:ascii="Arial" w:hAnsi="Arial" w:cs="Arial"/>
                <w:b/>
                <w:bCs/>
                <w:color w:val="000000"/>
                <w:sz w:val="18"/>
                <w:szCs w:val="18"/>
                <w:lang w:eastAsia="sk-SK"/>
              </w:rPr>
              <w:t>0</w:t>
            </w:r>
          </w:p>
        </w:tc>
      </w:tr>
    </w:tbl>
    <w:p w:rsidR="002A2B45" w:rsidRDefault="002A2B45" w:rsidP="002A2B45">
      <w:pPr>
        <w:ind w:left="142"/>
      </w:pPr>
    </w:p>
    <w:p w:rsidR="002A2B45" w:rsidRPr="0073340A" w:rsidRDefault="002A2B45" w:rsidP="002A2B45">
      <w:pPr>
        <w:spacing w:before="120" w:after="120"/>
        <w:ind w:left="567" w:right="725"/>
        <w:jc w:val="both"/>
        <w:rPr>
          <w:sz w:val="24"/>
          <w:szCs w:val="24"/>
        </w:rPr>
      </w:pPr>
      <w:bookmarkStart w:id="3" w:name="_GoBack"/>
      <w:bookmarkEnd w:id="3"/>
    </w:p>
    <w:sectPr w:rsidR="002A2B45" w:rsidRPr="007334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DA9" w:rsidRDefault="00AD5DA9" w:rsidP="002A2B45">
      <w:r>
        <w:separator/>
      </w:r>
    </w:p>
  </w:endnote>
  <w:endnote w:type="continuationSeparator" w:id="0">
    <w:p w:rsidR="00AD5DA9" w:rsidRDefault="00AD5DA9" w:rsidP="002A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936602"/>
      <w:docPartObj>
        <w:docPartGallery w:val="Page Numbers (Bottom of Page)"/>
        <w:docPartUnique/>
      </w:docPartObj>
    </w:sdtPr>
    <w:sdtContent>
      <w:p w:rsidR="002A2B45" w:rsidRDefault="002A2B45" w:rsidP="00CA4AD9">
        <w:pPr>
          <w:pStyle w:val="Pta"/>
          <w:jc w:val="center"/>
        </w:pPr>
        <w:r>
          <w:fldChar w:fldCharType="begin"/>
        </w:r>
        <w:r>
          <w:instrText>PAGE   \* MERGEFORMAT</w:instrText>
        </w:r>
        <w:r>
          <w:fldChar w:fldCharType="separate"/>
        </w:r>
        <w:r>
          <w:rPr>
            <w:noProof/>
          </w:rPr>
          <w:t>1</w:t>
        </w:r>
        <w:r>
          <w:fldChar w:fldCharType="end"/>
        </w:r>
      </w:p>
    </w:sdtContent>
  </w:sdt>
  <w:p w:rsidR="002A2B45" w:rsidRDefault="002A2B45">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DA9" w:rsidRDefault="00AD5DA9" w:rsidP="002A2B45">
      <w:r>
        <w:separator/>
      </w:r>
    </w:p>
  </w:footnote>
  <w:footnote w:type="continuationSeparator" w:id="0">
    <w:p w:rsidR="00AD5DA9" w:rsidRDefault="00AD5DA9" w:rsidP="002A2B45">
      <w:r>
        <w:continuationSeparator/>
      </w:r>
    </w:p>
  </w:footnote>
  <w:footnote w:id="1">
    <w:p w:rsidR="002A2B45" w:rsidRPr="00C64F3D" w:rsidRDefault="002A2B45" w:rsidP="002A2B45">
      <w:pPr>
        <w:tabs>
          <w:tab w:val="left" w:pos="777"/>
        </w:tabs>
        <w:spacing w:line="232" w:lineRule="exact"/>
        <w:ind w:left="142" w:right="839" w:hanging="142"/>
        <w:rPr>
          <w:sz w:val="18"/>
          <w:szCs w:val="18"/>
        </w:rPr>
      </w:pPr>
      <w:r w:rsidRPr="00C64F3D">
        <w:rPr>
          <w:rStyle w:val="Odkaznapoznmkupodiarou"/>
          <w:sz w:val="18"/>
          <w:szCs w:val="18"/>
        </w:rPr>
        <w:footnoteRef/>
      </w:r>
      <w:r w:rsidRPr="00C64F3D">
        <w:rPr>
          <w:sz w:val="18"/>
          <w:szCs w:val="18"/>
        </w:rPr>
        <w:t xml:space="preserve"> Oprávnení </w:t>
      </w:r>
      <w:r>
        <w:rPr>
          <w:sz w:val="18"/>
          <w:szCs w:val="18"/>
        </w:rPr>
        <w:t>prijímatelia pomoci</w:t>
      </w:r>
      <w:r w:rsidRPr="00C64F3D">
        <w:rPr>
          <w:sz w:val="18"/>
          <w:szCs w:val="18"/>
        </w:rPr>
        <w:t xml:space="preserve"> sú definovaní v tejto schéme v článku F. Prijímatelia pomoci.</w:t>
      </w:r>
    </w:p>
  </w:footnote>
  <w:footnote w:id="2">
    <w:p w:rsidR="002A2B45" w:rsidRPr="00C64F3D" w:rsidRDefault="002A2B45" w:rsidP="002A2B45">
      <w:pPr>
        <w:pStyle w:val="Textpoznmkypodiarou"/>
        <w:ind w:left="142"/>
        <w:jc w:val="both"/>
        <w:rPr>
          <w:sz w:val="18"/>
          <w:szCs w:val="18"/>
        </w:rPr>
      </w:pPr>
      <w:r w:rsidRPr="00C64F3D">
        <w:rPr>
          <w:rStyle w:val="Odkaznapoznmkupodiarou"/>
          <w:sz w:val="18"/>
          <w:szCs w:val="18"/>
        </w:rPr>
        <w:footnoteRef/>
      </w:r>
      <w:r w:rsidRPr="00C64F3D">
        <w:rPr>
          <w:sz w:val="18"/>
          <w:szCs w:val="18"/>
        </w:rPr>
        <w:t xml:space="preserve"> Oznámenie Komisie 2012/C 8/03 Rámec Európskej únie pre štátnu pomoc vo forme náhrady za služby vo verejnom záujme (2011)</w:t>
      </w:r>
    </w:p>
  </w:footnote>
  <w:footnote w:id="3">
    <w:p w:rsidR="002A2B45" w:rsidRPr="00B34E8A" w:rsidRDefault="002A2B45" w:rsidP="002A2B45">
      <w:pPr>
        <w:pStyle w:val="Textpoznmkypodiarou"/>
        <w:ind w:left="142"/>
        <w:rPr>
          <w:sz w:val="18"/>
          <w:szCs w:val="18"/>
        </w:rPr>
      </w:pPr>
      <w:r w:rsidRPr="00B34E8A">
        <w:rPr>
          <w:rStyle w:val="Odkaznapoznmkupodiarou"/>
          <w:sz w:val="18"/>
          <w:szCs w:val="18"/>
        </w:rPr>
        <w:footnoteRef/>
      </w:r>
      <w:r w:rsidRPr="00B34E8A">
        <w:rPr>
          <w:sz w:val="18"/>
          <w:szCs w:val="18"/>
        </w:rPr>
        <w:t xml:space="preserve"> Článok 2 ods. 1 písm. c) rozhodnutia Komisie č. 2012/21/EÚ</w:t>
      </w:r>
    </w:p>
  </w:footnote>
  <w:footnote w:id="4">
    <w:p w:rsidR="002A2B45" w:rsidRPr="003A270A" w:rsidRDefault="002A2B45" w:rsidP="002A2B45">
      <w:pPr>
        <w:pStyle w:val="Textpoznmkypodiarou"/>
        <w:ind w:left="142"/>
        <w:rPr>
          <w:sz w:val="18"/>
          <w:szCs w:val="18"/>
        </w:rPr>
      </w:pPr>
      <w:r w:rsidRPr="003A270A">
        <w:rPr>
          <w:rStyle w:val="Odkaznapoznmkupodiarou"/>
          <w:sz w:val="18"/>
          <w:szCs w:val="18"/>
        </w:rPr>
        <w:footnoteRef/>
      </w:r>
      <w:r w:rsidRPr="003A270A">
        <w:rPr>
          <w:sz w:val="18"/>
          <w:szCs w:val="18"/>
        </w:rPr>
        <w:t xml:space="preserve"> Článok 2 ods. 2) rozhodnutia Komisie č. 2012/21/EÚ</w:t>
      </w:r>
    </w:p>
  </w:footnote>
  <w:footnote w:id="5">
    <w:p w:rsidR="002A2B45" w:rsidRPr="004243B5" w:rsidRDefault="002A2B45" w:rsidP="002A2B45">
      <w:pPr>
        <w:pStyle w:val="Textpoznmkypodiarou"/>
        <w:ind w:left="142" w:hanging="142"/>
        <w:rPr>
          <w:sz w:val="18"/>
          <w:szCs w:val="18"/>
        </w:rPr>
      </w:pPr>
      <w:r w:rsidRPr="004243B5">
        <w:rPr>
          <w:rStyle w:val="Odkaznapoznmkupodiarou"/>
          <w:sz w:val="18"/>
          <w:szCs w:val="18"/>
        </w:rPr>
        <w:footnoteRef/>
      </w:r>
      <w:r w:rsidRPr="004243B5">
        <w:rPr>
          <w:sz w:val="18"/>
          <w:szCs w:val="18"/>
        </w:rPr>
        <w:t xml:space="preserve"> Vrátane daňových odpisov podporenej investície</w:t>
      </w:r>
    </w:p>
  </w:footnote>
  <w:footnote w:id="6">
    <w:p w:rsidR="002A2B45" w:rsidRPr="00EA451C" w:rsidRDefault="002A2B45" w:rsidP="002A2B45">
      <w:pPr>
        <w:pStyle w:val="Textpoznmkypodiarou"/>
        <w:ind w:left="142" w:right="1009" w:hanging="142"/>
        <w:rPr>
          <w:sz w:val="18"/>
          <w:szCs w:val="18"/>
        </w:rPr>
      </w:pPr>
      <w:r w:rsidRPr="00EA451C">
        <w:rPr>
          <w:rStyle w:val="Odkaznapoznmkupodiarou"/>
          <w:sz w:val="18"/>
          <w:szCs w:val="18"/>
        </w:rPr>
        <w:footnoteRef/>
      </w:r>
      <w:r w:rsidRPr="00EA451C">
        <w:rPr>
          <w:sz w:val="18"/>
          <w:szCs w:val="18"/>
        </w:rPr>
        <w:t xml:space="preserve"> </w:t>
      </w:r>
      <w:hyperlink r:id="rId1" w:history="1">
        <w:r w:rsidRPr="00EA451C">
          <w:rPr>
            <w:rStyle w:val="Hypertextovprepojenie"/>
            <w:sz w:val="18"/>
            <w:szCs w:val="18"/>
          </w:rPr>
          <w:t>https://competition-policy.ec.europa.eu/state-aid/legislation/sgei/swap-rate-proxies_en</w:t>
        </w:r>
      </w:hyperlink>
      <w:r w:rsidRPr="00EA451C">
        <w:rPr>
          <w:sz w:val="18"/>
          <w:szCs w:val="18"/>
        </w:rPr>
        <w:t xml:space="preserve"> </w:t>
      </w:r>
    </w:p>
  </w:footnote>
  <w:footnote w:id="7">
    <w:p w:rsidR="002A2B45" w:rsidRPr="00EA451C" w:rsidRDefault="002A2B45" w:rsidP="002A2B45">
      <w:pPr>
        <w:pStyle w:val="Textpoznmkypodiarou"/>
        <w:ind w:left="142" w:right="1009" w:hanging="141"/>
        <w:rPr>
          <w:sz w:val="18"/>
          <w:szCs w:val="18"/>
        </w:rPr>
      </w:pPr>
      <w:r w:rsidRPr="00EA451C">
        <w:rPr>
          <w:rStyle w:val="Odkaznapoznmkupodiarou"/>
          <w:sz w:val="18"/>
          <w:szCs w:val="18"/>
        </w:rPr>
        <w:footnoteRef/>
      </w:r>
      <w:r w:rsidRPr="00EA451C">
        <w:rPr>
          <w:sz w:val="18"/>
          <w:szCs w:val="18"/>
        </w:rPr>
        <w:t xml:space="preserve"> Ukončenie realizácie investičnej fázy projektu je dátumom zaradenia investície od majetku a začatím odpisovania. V prípade, že bude investícia zaraďovaná do majetku postupne; bude sa pre účel tejto metodiky za ukončenie investičnej fázy projektu považovať zaradenie prvej časti do majetku.</w:t>
      </w:r>
    </w:p>
  </w:footnote>
  <w:footnote w:id="8">
    <w:p w:rsidR="002A2B45" w:rsidRPr="009130E6" w:rsidRDefault="002A2B45" w:rsidP="002A2B45">
      <w:pPr>
        <w:pStyle w:val="Textpoznmkypodiarou"/>
        <w:ind w:left="142" w:right="1011" w:hanging="142"/>
        <w:jc w:val="both"/>
        <w:rPr>
          <w:sz w:val="18"/>
          <w:szCs w:val="18"/>
        </w:rPr>
      </w:pPr>
      <w:r w:rsidRPr="00ED4240">
        <w:rPr>
          <w:rStyle w:val="Odkaznapoznmkupodiarou"/>
          <w:sz w:val="18"/>
          <w:szCs w:val="18"/>
        </w:rPr>
        <w:footnoteRef/>
      </w:r>
      <w:r w:rsidRPr="00ED4240">
        <w:rPr>
          <w:sz w:val="18"/>
          <w:szCs w:val="18"/>
        </w:rPr>
        <w:t xml:space="preserve"> </w:t>
      </w:r>
      <w:r>
        <w:rPr>
          <w:sz w:val="18"/>
          <w:szCs w:val="18"/>
        </w:rPr>
        <w:t xml:space="preserve">Dobu trvania poverenia obsahuje Zmluva o PPM. </w:t>
      </w:r>
      <w:r w:rsidRPr="009130E6">
        <w:rPr>
          <w:sz w:val="18"/>
          <w:szCs w:val="18"/>
        </w:rPr>
        <w:t xml:space="preserve">V prípade, kedy je obdobie </w:t>
      </w:r>
      <w:r>
        <w:rPr>
          <w:sz w:val="18"/>
          <w:szCs w:val="18"/>
        </w:rPr>
        <w:t xml:space="preserve">trvania </w:t>
      </w:r>
      <w:r w:rsidRPr="009130E6">
        <w:rPr>
          <w:sz w:val="18"/>
          <w:szCs w:val="18"/>
        </w:rPr>
        <w:t>poverenia kratšie ako tri roky, poskytovateľ vykoná kontrolu nadmernej náhrady na konci obdobia poverenia.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A5BEF"/>
    <w:multiLevelType w:val="multilevel"/>
    <w:tmpl w:val="2584A992"/>
    <w:lvl w:ilvl="0">
      <w:start w:val="1"/>
      <w:numFmt w:val="decimal"/>
      <w:lvlText w:val="%1."/>
      <w:lvlJc w:val="left"/>
      <w:pPr>
        <w:ind w:left="877" w:hanging="281"/>
      </w:pPr>
      <w:rPr>
        <w:rFonts w:ascii="Times New Roman" w:eastAsia="Times New Roman" w:hAnsi="Times New Roman" w:cs="Times New Roman" w:hint="default"/>
        <w:b/>
        <w:bCs/>
        <w:w w:val="100"/>
        <w:sz w:val="28"/>
        <w:szCs w:val="28"/>
        <w:u w:val="none"/>
        <w:lang w:val="sk-SK" w:eastAsia="en-US" w:bidi="ar-SA"/>
      </w:rPr>
    </w:lvl>
    <w:lvl w:ilvl="1">
      <w:start w:val="1"/>
      <w:numFmt w:val="decimal"/>
      <w:lvlText w:val="%1.%2"/>
      <w:lvlJc w:val="left"/>
      <w:pPr>
        <w:ind w:left="956" w:hanging="360"/>
      </w:pPr>
      <w:rPr>
        <w:rFonts w:ascii="Times New Roman" w:eastAsia="Times New Roman" w:hAnsi="Times New Roman" w:cs="Times New Roman" w:hint="default"/>
        <w:b/>
        <w:bCs/>
        <w:w w:val="100"/>
        <w:sz w:val="24"/>
        <w:szCs w:val="24"/>
        <w:lang w:val="sk-SK" w:eastAsia="en-US" w:bidi="ar-SA"/>
      </w:rPr>
    </w:lvl>
    <w:lvl w:ilvl="2">
      <w:start w:val="1"/>
      <w:numFmt w:val="decimal"/>
      <w:lvlText w:val="%3)"/>
      <w:lvlJc w:val="left"/>
      <w:pPr>
        <w:ind w:left="1496" w:hanging="360"/>
      </w:pPr>
      <w:rPr>
        <w:rFonts w:ascii="Times New Roman" w:eastAsia="Times New Roman" w:hAnsi="Times New Roman" w:cs="Times New Roman" w:hint="default"/>
        <w:w w:val="99"/>
        <w:sz w:val="24"/>
        <w:szCs w:val="24"/>
        <w:lang w:val="sk-SK" w:eastAsia="en-US" w:bidi="ar-SA"/>
      </w:rPr>
    </w:lvl>
    <w:lvl w:ilvl="3">
      <w:numFmt w:val="bullet"/>
      <w:lvlText w:val="•"/>
      <w:lvlJc w:val="left"/>
      <w:pPr>
        <w:ind w:left="1500" w:hanging="360"/>
      </w:pPr>
      <w:rPr>
        <w:rFonts w:hint="default"/>
        <w:lang w:val="sk-SK" w:eastAsia="en-US" w:bidi="ar-SA"/>
      </w:rPr>
    </w:lvl>
    <w:lvl w:ilvl="4">
      <w:numFmt w:val="bullet"/>
      <w:lvlText w:val="•"/>
      <w:lvlJc w:val="left"/>
      <w:pPr>
        <w:ind w:left="2806" w:hanging="360"/>
      </w:pPr>
      <w:rPr>
        <w:rFonts w:hint="default"/>
        <w:lang w:val="sk-SK" w:eastAsia="en-US" w:bidi="ar-SA"/>
      </w:rPr>
    </w:lvl>
    <w:lvl w:ilvl="5">
      <w:numFmt w:val="bullet"/>
      <w:lvlText w:val="•"/>
      <w:lvlJc w:val="left"/>
      <w:pPr>
        <w:ind w:left="4112" w:hanging="360"/>
      </w:pPr>
      <w:rPr>
        <w:rFonts w:hint="default"/>
        <w:lang w:val="sk-SK" w:eastAsia="en-US" w:bidi="ar-SA"/>
      </w:rPr>
    </w:lvl>
    <w:lvl w:ilvl="6">
      <w:numFmt w:val="bullet"/>
      <w:lvlText w:val="•"/>
      <w:lvlJc w:val="left"/>
      <w:pPr>
        <w:ind w:left="5418" w:hanging="360"/>
      </w:pPr>
      <w:rPr>
        <w:rFonts w:hint="default"/>
        <w:lang w:val="sk-SK" w:eastAsia="en-US" w:bidi="ar-SA"/>
      </w:rPr>
    </w:lvl>
    <w:lvl w:ilvl="7">
      <w:numFmt w:val="bullet"/>
      <w:lvlText w:val="•"/>
      <w:lvlJc w:val="left"/>
      <w:pPr>
        <w:ind w:left="6725" w:hanging="360"/>
      </w:pPr>
      <w:rPr>
        <w:rFonts w:hint="default"/>
        <w:lang w:val="sk-SK" w:eastAsia="en-US" w:bidi="ar-SA"/>
      </w:rPr>
    </w:lvl>
    <w:lvl w:ilvl="8">
      <w:numFmt w:val="bullet"/>
      <w:lvlText w:val="•"/>
      <w:lvlJc w:val="left"/>
      <w:pPr>
        <w:ind w:left="8031" w:hanging="360"/>
      </w:pPr>
      <w:rPr>
        <w:rFonts w:hint="default"/>
        <w:lang w:val="sk-SK" w:eastAsia="en-US" w:bidi="ar-SA"/>
      </w:rPr>
    </w:lvl>
  </w:abstractNum>
  <w:abstractNum w:abstractNumId="1" w15:restartNumberingAfterBreak="0">
    <w:nsid w:val="768F273A"/>
    <w:multiLevelType w:val="hybridMultilevel"/>
    <w:tmpl w:val="3852EB9A"/>
    <w:lvl w:ilvl="0" w:tplc="C9149890">
      <w:start w:val="1"/>
      <w:numFmt w:val="bullet"/>
      <w:lvlText w:val=""/>
      <w:lvlJc w:val="left"/>
      <w:pPr>
        <w:ind w:left="2062" w:hanging="360"/>
      </w:pPr>
      <w:rPr>
        <w:rFonts w:ascii="Symbol" w:hAnsi="Symbol" w:hint="default"/>
      </w:rPr>
    </w:lvl>
    <w:lvl w:ilvl="1" w:tplc="041B0003" w:tentative="1">
      <w:start w:val="1"/>
      <w:numFmt w:val="bullet"/>
      <w:lvlText w:val="o"/>
      <w:lvlJc w:val="left"/>
      <w:pPr>
        <w:ind w:left="2782" w:hanging="360"/>
      </w:pPr>
      <w:rPr>
        <w:rFonts w:ascii="Courier New" w:hAnsi="Courier New" w:cs="Courier New" w:hint="default"/>
      </w:rPr>
    </w:lvl>
    <w:lvl w:ilvl="2" w:tplc="041B0005" w:tentative="1">
      <w:start w:val="1"/>
      <w:numFmt w:val="bullet"/>
      <w:lvlText w:val=""/>
      <w:lvlJc w:val="left"/>
      <w:pPr>
        <w:ind w:left="3502" w:hanging="360"/>
      </w:pPr>
      <w:rPr>
        <w:rFonts w:ascii="Wingdings" w:hAnsi="Wingdings" w:hint="default"/>
      </w:rPr>
    </w:lvl>
    <w:lvl w:ilvl="3" w:tplc="041B0001" w:tentative="1">
      <w:start w:val="1"/>
      <w:numFmt w:val="bullet"/>
      <w:lvlText w:val=""/>
      <w:lvlJc w:val="left"/>
      <w:pPr>
        <w:ind w:left="4222" w:hanging="360"/>
      </w:pPr>
      <w:rPr>
        <w:rFonts w:ascii="Symbol" w:hAnsi="Symbol" w:hint="default"/>
      </w:rPr>
    </w:lvl>
    <w:lvl w:ilvl="4" w:tplc="041B0003" w:tentative="1">
      <w:start w:val="1"/>
      <w:numFmt w:val="bullet"/>
      <w:lvlText w:val="o"/>
      <w:lvlJc w:val="left"/>
      <w:pPr>
        <w:ind w:left="4942" w:hanging="360"/>
      </w:pPr>
      <w:rPr>
        <w:rFonts w:ascii="Courier New" w:hAnsi="Courier New" w:cs="Courier New" w:hint="default"/>
      </w:rPr>
    </w:lvl>
    <w:lvl w:ilvl="5" w:tplc="041B0005" w:tentative="1">
      <w:start w:val="1"/>
      <w:numFmt w:val="bullet"/>
      <w:lvlText w:val=""/>
      <w:lvlJc w:val="left"/>
      <w:pPr>
        <w:ind w:left="5662" w:hanging="360"/>
      </w:pPr>
      <w:rPr>
        <w:rFonts w:ascii="Wingdings" w:hAnsi="Wingdings" w:hint="default"/>
      </w:rPr>
    </w:lvl>
    <w:lvl w:ilvl="6" w:tplc="041B0001" w:tentative="1">
      <w:start w:val="1"/>
      <w:numFmt w:val="bullet"/>
      <w:lvlText w:val=""/>
      <w:lvlJc w:val="left"/>
      <w:pPr>
        <w:ind w:left="6382" w:hanging="360"/>
      </w:pPr>
      <w:rPr>
        <w:rFonts w:ascii="Symbol" w:hAnsi="Symbol" w:hint="default"/>
      </w:rPr>
    </w:lvl>
    <w:lvl w:ilvl="7" w:tplc="041B0003" w:tentative="1">
      <w:start w:val="1"/>
      <w:numFmt w:val="bullet"/>
      <w:lvlText w:val="o"/>
      <w:lvlJc w:val="left"/>
      <w:pPr>
        <w:ind w:left="7102" w:hanging="360"/>
      </w:pPr>
      <w:rPr>
        <w:rFonts w:ascii="Courier New" w:hAnsi="Courier New" w:cs="Courier New" w:hint="default"/>
      </w:rPr>
    </w:lvl>
    <w:lvl w:ilvl="8" w:tplc="041B0005" w:tentative="1">
      <w:start w:val="1"/>
      <w:numFmt w:val="bullet"/>
      <w:lvlText w:val=""/>
      <w:lvlJc w:val="left"/>
      <w:pPr>
        <w:ind w:left="78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45"/>
    <w:rsid w:val="002A2B45"/>
    <w:rsid w:val="003114E0"/>
    <w:rsid w:val="00AD5D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BCCFC-F274-4C47-825C-76129DD0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2A2B45"/>
    <w:pPr>
      <w:widowControl w:val="0"/>
      <w:autoSpaceDE w:val="0"/>
      <w:autoSpaceDN w:val="0"/>
      <w:spacing w:after="0" w:line="240" w:lineRule="auto"/>
      <w:jc w:val="left"/>
    </w:pPr>
    <w:rPr>
      <w:rFonts w:ascii="Times New Roman" w:eastAsia="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2A2B45"/>
    <w:rPr>
      <w:sz w:val="24"/>
      <w:szCs w:val="24"/>
    </w:rPr>
  </w:style>
  <w:style w:type="character" w:customStyle="1" w:styleId="ZkladntextChar">
    <w:name w:val="Základný text Char"/>
    <w:basedOn w:val="Predvolenpsmoodseku"/>
    <w:link w:val="Zkladntext"/>
    <w:uiPriority w:val="1"/>
    <w:rsid w:val="002A2B45"/>
    <w:rPr>
      <w:rFonts w:ascii="Times New Roman" w:eastAsia="Times New Roman" w:hAnsi="Times New Roman" w:cs="Times New Roman"/>
      <w:sz w:val="24"/>
      <w:szCs w:val="24"/>
    </w:rPr>
  </w:style>
  <w:style w:type="paragraph" w:styleId="Odsekzoznamu">
    <w:name w:val="List Paragraph"/>
    <w:aliases w:val="body,Odsek zoznamu2,List Paragraph,Farebný zoznam – zvýraznenie 11"/>
    <w:basedOn w:val="Normlny"/>
    <w:link w:val="OdsekzoznamuChar"/>
    <w:uiPriority w:val="34"/>
    <w:qFormat/>
    <w:rsid w:val="002A2B45"/>
    <w:pPr>
      <w:ind w:left="1023" w:hanging="361"/>
      <w:jc w:val="both"/>
    </w:pPr>
  </w:style>
  <w:style w:type="paragraph" w:styleId="Textpoznmkypodiarou">
    <w:name w:val="footnote text"/>
    <w:aliases w:val="Text poznámky pod čiarou 007,_Poznámka pod čiarou,Schriftart: 9 pt,Schriftart: 10 pt,Schriftart: 8 pt,Schriftart: 8 pt Char Char Char,Schriftart: 8 pt Char,Char4,Text poznámky pod eiarou 007,Text poznámky pod èiarou 007,o, Char4"/>
    <w:basedOn w:val="Normlny"/>
    <w:link w:val="TextpoznmkypodiarouChar"/>
    <w:unhideWhenUsed/>
    <w:qFormat/>
    <w:rsid w:val="002A2B45"/>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o Char, Char4 Char"/>
    <w:basedOn w:val="Predvolenpsmoodseku"/>
    <w:link w:val="Textpoznmkypodiarou"/>
    <w:rsid w:val="002A2B45"/>
    <w:rPr>
      <w:rFonts w:ascii="Times New Roman" w:eastAsia="Times New Roman" w:hAnsi="Times New Roman" w:cs="Times New Roman"/>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FootnoteReferneceChar"/>
    <w:uiPriority w:val="99"/>
    <w:unhideWhenUsed/>
    <w:qFormat/>
    <w:rsid w:val="002A2B45"/>
    <w:rPr>
      <w:vertAlign w:val="superscript"/>
    </w:rPr>
  </w:style>
  <w:style w:type="character" w:customStyle="1" w:styleId="OdsekzoznamuChar">
    <w:name w:val="Odsek zoznamu Char"/>
    <w:aliases w:val="body Char,Odsek zoznamu2 Char,List Paragraph Char,Farebný zoznam – zvýraznenie 11 Char"/>
    <w:link w:val="Odsekzoznamu"/>
    <w:uiPriority w:val="34"/>
    <w:locked/>
    <w:rsid w:val="002A2B45"/>
    <w:rPr>
      <w:rFonts w:ascii="Times New Roman" w:eastAsia="Times New Roman" w:hAnsi="Times New Roman" w:cs="Times New Roman"/>
    </w:rPr>
  </w:style>
  <w:style w:type="character" w:styleId="Hypertextovprepojenie">
    <w:name w:val="Hyperlink"/>
    <w:basedOn w:val="Predvolenpsmoodseku"/>
    <w:uiPriority w:val="99"/>
    <w:unhideWhenUsed/>
    <w:rsid w:val="002A2B45"/>
    <w:rPr>
      <w:color w:val="0563C1"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2A2B45"/>
    <w:pPr>
      <w:widowControl/>
      <w:autoSpaceDE/>
      <w:autoSpaceDN/>
      <w:spacing w:before="240" w:after="160" w:line="240" w:lineRule="exact"/>
    </w:pPr>
    <w:rPr>
      <w:rFonts w:asciiTheme="minorHAnsi" w:eastAsiaTheme="minorHAnsi" w:hAnsiTheme="minorHAnsi" w:cstheme="minorBidi"/>
      <w:vertAlign w:val="superscript"/>
    </w:rPr>
  </w:style>
  <w:style w:type="paragraph" w:styleId="Pta">
    <w:name w:val="footer"/>
    <w:basedOn w:val="Normlny"/>
    <w:link w:val="PtaChar"/>
    <w:uiPriority w:val="99"/>
    <w:unhideWhenUsed/>
    <w:rsid w:val="002A2B45"/>
    <w:pPr>
      <w:tabs>
        <w:tab w:val="center" w:pos="4536"/>
        <w:tab w:val="right" w:pos="9072"/>
      </w:tabs>
    </w:pPr>
  </w:style>
  <w:style w:type="character" w:customStyle="1" w:styleId="PtaChar">
    <w:name w:val="Päta Char"/>
    <w:basedOn w:val="Predvolenpsmoodseku"/>
    <w:link w:val="Pta"/>
    <w:uiPriority w:val="99"/>
    <w:rsid w:val="002A2B4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mpetition-policy.ec.europa.eu/state-aid/legislation/sgei/swap-rate-proxies_en"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D42A4537-8E4F-4FCD-9265-602868B1EB70}"/>
</file>

<file path=customXml/itemProps2.xml><?xml version="1.0" encoding="utf-8"?>
<ds:datastoreItem xmlns:ds="http://schemas.openxmlformats.org/officeDocument/2006/customXml" ds:itemID="{202D3BFC-1FBC-4C0C-99C0-AEE87E448921}"/>
</file>

<file path=customXml/itemProps3.xml><?xml version="1.0" encoding="utf-8"?>
<ds:datastoreItem xmlns:ds="http://schemas.openxmlformats.org/officeDocument/2006/customXml" ds:itemID="{DEA1C7C0-E6D6-431C-A200-AD75EC1A07F2}"/>
</file>

<file path=docProps/app.xml><?xml version="1.0" encoding="utf-8"?>
<Properties xmlns="http://schemas.openxmlformats.org/officeDocument/2006/extended-properties" xmlns:vt="http://schemas.openxmlformats.org/officeDocument/2006/docPropsVTypes">
  <Template>Normal.dotm</Template>
  <TotalTime>10</TotalTime>
  <Pages>5</Pages>
  <Words>1807</Words>
  <Characters>10304</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Kvačková</dc:creator>
  <cp:keywords/>
  <dc:description/>
  <cp:lastModifiedBy>Katarína Kvačková</cp:lastModifiedBy>
  <cp:revision>1</cp:revision>
  <dcterms:created xsi:type="dcterms:W3CDTF">2022-11-29T07:57:00Z</dcterms:created>
  <dcterms:modified xsi:type="dcterms:W3CDTF">2022-11-29T08:07:00Z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